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F4EB0" w14:textId="77777777" w:rsidR="00CB0CA1" w:rsidRPr="004C2545" w:rsidRDefault="00CB0CA1" w:rsidP="008058E9">
      <w:pPr>
        <w:ind w:right="142"/>
        <w:jc w:val="center"/>
        <w:rPr>
          <w:rFonts w:ascii="Calibri" w:hAnsi="Calibri" w:cs="Calibri"/>
          <w:b/>
          <w:sz w:val="24"/>
          <w:szCs w:val="24"/>
        </w:rPr>
      </w:pPr>
    </w:p>
    <w:p w14:paraId="30F90FEB" w14:textId="77777777" w:rsidR="00367400" w:rsidRPr="006C43CF" w:rsidRDefault="00367400" w:rsidP="007125C1">
      <w:pPr>
        <w:ind w:right="142"/>
        <w:jc w:val="both"/>
        <w:rPr>
          <w:rFonts w:ascii="Calibri" w:hAnsi="Calibri" w:cs="Calibri"/>
          <w:sz w:val="22"/>
          <w:szCs w:val="22"/>
        </w:rPr>
      </w:pPr>
    </w:p>
    <w:p w14:paraId="5DE46843" w14:textId="77777777" w:rsidR="008E1344" w:rsidRPr="00384C31" w:rsidRDefault="008E1344" w:rsidP="008E1344">
      <w:pPr>
        <w:jc w:val="both"/>
        <w:rPr>
          <w:rFonts w:ascii="Calibri" w:hAnsi="Calibri" w:cs="Calibri"/>
          <w:sz w:val="24"/>
        </w:rPr>
      </w:pPr>
    </w:p>
    <w:p w14:paraId="7F922F7B" w14:textId="13B20BBC" w:rsidR="003922FF" w:rsidRDefault="003922FF" w:rsidP="003922FF">
      <w:pPr>
        <w:ind w:right="142"/>
        <w:rPr>
          <w:rFonts w:ascii="Calibri" w:hAnsi="Calibri" w:cs="Calibri"/>
          <w:b/>
          <w:bCs/>
          <w:sz w:val="26"/>
          <w:szCs w:val="26"/>
        </w:rPr>
      </w:pPr>
      <w:r>
        <w:rPr>
          <w:rFonts w:ascii="Calibri" w:hAnsi="Calibri" w:cs="Calibri"/>
          <w:b/>
          <w:sz w:val="26"/>
          <w:szCs w:val="26"/>
        </w:rPr>
        <w:t xml:space="preserve">Objet : </w:t>
      </w:r>
      <w:r>
        <w:rPr>
          <w:rFonts w:ascii="Calibri" w:hAnsi="Calibri" w:cs="Calibri"/>
          <w:b/>
          <w:bCs/>
          <w:sz w:val="26"/>
          <w:szCs w:val="26"/>
        </w:rPr>
        <w:t xml:space="preserve">Approbation du compte </w:t>
      </w:r>
      <w:r w:rsidR="009C1A99">
        <w:rPr>
          <w:rFonts w:ascii="Calibri" w:hAnsi="Calibri" w:cs="Calibri"/>
          <w:b/>
          <w:bCs/>
          <w:sz w:val="26"/>
          <w:szCs w:val="26"/>
        </w:rPr>
        <w:t>financier unique 2025</w:t>
      </w:r>
      <w:r>
        <w:rPr>
          <w:rFonts w:ascii="Calibri" w:hAnsi="Calibri" w:cs="Calibri"/>
          <w:b/>
          <w:bCs/>
          <w:sz w:val="26"/>
          <w:szCs w:val="26"/>
        </w:rPr>
        <w:t xml:space="preserve"> de la Commune (TT 7121)</w:t>
      </w:r>
    </w:p>
    <w:p w14:paraId="26347D64" w14:textId="77777777" w:rsidR="003922FF" w:rsidRDefault="003922FF" w:rsidP="003922FF">
      <w:pPr>
        <w:jc w:val="both"/>
        <w:rPr>
          <w:rFonts w:ascii="Calibri" w:hAnsi="Calibri" w:cs="Calibri"/>
          <w:sz w:val="24"/>
          <w:szCs w:val="24"/>
        </w:rPr>
      </w:pPr>
    </w:p>
    <w:p w14:paraId="0F5B2EBC" w14:textId="511CE8CB" w:rsidR="00C5290D" w:rsidRDefault="00C5290D" w:rsidP="003922FF">
      <w:pPr>
        <w:numPr>
          <w:ilvl w:val="0"/>
          <w:numId w:val="10"/>
        </w:numPr>
        <w:contextualSpacing/>
        <w:jc w:val="both"/>
        <w:rPr>
          <w:rFonts w:ascii="Calibri" w:hAnsi="Calibri" w:cs="Calibri"/>
          <w:sz w:val="24"/>
        </w:rPr>
      </w:pPr>
      <w:r>
        <w:rPr>
          <w:rFonts w:ascii="Calibri" w:hAnsi="Calibri" w:cs="Calibri"/>
          <w:sz w:val="24"/>
        </w:rPr>
        <w:t xml:space="preserve">L’article L.1612-12 du Code général des collectivités territoriales, qui dispose que </w:t>
      </w:r>
      <w:r w:rsidRPr="00C5290D">
        <w:rPr>
          <w:rFonts w:ascii="Calibri" w:hAnsi="Calibri" w:cs="Calibri"/>
          <w:sz w:val="24"/>
        </w:rPr>
        <w:t>l'approbation des comptes de la collectivité est constituée par le vote de l'organe délibérant sur le compte financier unique. Le vote de l'organe délibérant approuvant les comptes doit intervenir au plus tard le 30 jui</w:t>
      </w:r>
      <w:r>
        <w:rPr>
          <w:rFonts w:ascii="Calibri" w:hAnsi="Calibri" w:cs="Calibri"/>
          <w:sz w:val="24"/>
        </w:rPr>
        <w:t>n de l'année suivant l'exercice,</w:t>
      </w:r>
    </w:p>
    <w:p w14:paraId="50F5479A" w14:textId="1ACB968C" w:rsidR="00C5290D" w:rsidRDefault="00C5290D" w:rsidP="003922FF">
      <w:pPr>
        <w:numPr>
          <w:ilvl w:val="0"/>
          <w:numId w:val="10"/>
        </w:numPr>
        <w:contextualSpacing/>
        <w:jc w:val="both"/>
        <w:rPr>
          <w:rFonts w:ascii="Calibri" w:hAnsi="Calibri" w:cs="Calibri"/>
          <w:sz w:val="24"/>
        </w:rPr>
      </w:pPr>
      <w:proofErr w:type="gramStart"/>
      <w:r>
        <w:rPr>
          <w:rFonts w:ascii="Calibri" w:hAnsi="Calibri" w:cs="Calibri"/>
          <w:sz w:val="24"/>
        </w:rPr>
        <w:t>l’ordonnance</w:t>
      </w:r>
      <w:proofErr w:type="gramEnd"/>
      <w:r>
        <w:rPr>
          <w:rFonts w:ascii="Calibri" w:hAnsi="Calibri" w:cs="Calibri"/>
          <w:sz w:val="24"/>
        </w:rPr>
        <w:t xml:space="preserve"> n°2025-526 du 12 juin 2025 relative à la généralisation du compte financier unique, </w:t>
      </w:r>
    </w:p>
    <w:p w14:paraId="17D22D8A" w14:textId="33FB5A3A" w:rsidR="003922FF" w:rsidRDefault="00C5290D" w:rsidP="003922FF">
      <w:pPr>
        <w:numPr>
          <w:ilvl w:val="0"/>
          <w:numId w:val="10"/>
        </w:numPr>
        <w:contextualSpacing/>
        <w:jc w:val="both"/>
        <w:rPr>
          <w:rFonts w:ascii="Calibri" w:hAnsi="Calibri" w:cs="Calibri"/>
          <w:sz w:val="24"/>
        </w:rPr>
      </w:pPr>
      <w:proofErr w:type="gramStart"/>
      <w:r>
        <w:rPr>
          <w:rFonts w:ascii="Calibri" w:hAnsi="Calibri" w:cs="Calibri"/>
          <w:sz w:val="24"/>
        </w:rPr>
        <w:t>l’article</w:t>
      </w:r>
      <w:proofErr w:type="gramEnd"/>
      <w:r>
        <w:rPr>
          <w:rFonts w:ascii="Calibri" w:hAnsi="Calibri" w:cs="Calibri"/>
          <w:sz w:val="24"/>
        </w:rPr>
        <w:t xml:space="preserve"> L.2121-14</w:t>
      </w:r>
      <w:r>
        <w:rPr>
          <w:rFonts w:ascii="Calibri" w:hAnsi="Calibri" w:cs="Calibri"/>
          <w:sz w:val="24"/>
          <w:szCs w:val="24"/>
        </w:rPr>
        <w:t xml:space="preserve"> </w:t>
      </w:r>
      <w:r w:rsidR="003922FF">
        <w:rPr>
          <w:rFonts w:ascii="Calibri" w:hAnsi="Calibri" w:cs="Calibri"/>
          <w:sz w:val="24"/>
        </w:rPr>
        <w:t xml:space="preserve"> Code général des collectivités territoriales, </w:t>
      </w:r>
      <w:r w:rsidR="004F235F">
        <w:rPr>
          <w:rFonts w:ascii="Calibri" w:hAnsi="Calibri" w:cs="Calibri"/>
          <w:sz w:val="24"/>
          <w:szCs w:val="24"/>
        </w:rPr>
        <w:t>qui dispose</w:t>
      </w:r>
      <w:r w:rsidR="003922FF">
        <w:rPr>
          <w:rFonts w:ascii="Calibri" w:hAnsi="Calibri" w:cs="Calibri"/>
          <w:sz w:val="24"/>
          <w:szCs w:val="24"/>
        </w:rPr>
        <w:t xml:space="preserve"> que dans la séance où le compte </w:t>
      </w:r>
      <w:r w:rsidR="009C1A99">
        <w:rPr>
          <w:rFonts w:ascii="Calibri" w:hAnsi="Calibri" w:cs="Calibri"/>
          <w:sz w:val="24"/>
          <w:szCs w:val="24"/>
        </w:rPr>
        <w:t>financier unique tenu</w:t>
      </w:r>
      <w:r w:rsidR="003922FF">
        <w:rPr>
          <w:rFonts w:ascii="Calibri" w:hAnsi="Calibri" w:cs="Calibri"/>
          <w:sz w:val="24"/>
          <w:szCs w:val="24"/>
        </w:rPr>
        <w:t xml:space="preserve"> par </w:t>
      </w:r>
      <w:r w:rsidR="009C1A99">
        <w:rPr>
          <w:rFonts w:ascii="Calibri" w:hAnsi="Calibri" w:cs="Calibri"/>
          <w:sz w:val="24"/>
          <w:szCs w:val="24"/>
        </w:rPr>
        <w:t>le M</w:t>
      </w:r>
      <w:r w:rsidR="003922FF">
        <w:rPr>
          <w:rFonts w:ascii="Calibri" w:hAnsi="Calibri" w:cs="Calibri"/>
          <w:sz w:val="24"/>
          <w:szCs w:val="24"/>
        </w:rPr>
        <w:t xml:space="preserve">aire est débattu, le conseil municipal doit élire </w:t>
      </w:r>
      <w:r w:rsidR="004F235F">
        <w:rPr>
          <w:rFonts w:ascii="Calibri" w:hAnsi="Calibri" w:cs="Calibri"/>
          <w:sz w:val="24"/>
          <w:szCs w:val="24"/>
        </w:rPr>
        <w:t>son</w:t>
      </w:r>
      <w:r w:rsidR="008E3309">
        <w:rPr>
          <w:rFonts w:ascii="Calibri" w:hAnsi="Calibri" w:cs="Calibri"/>
          <w:sz w:val="24"/>
          <w:szCs w:val="24"/>
        </w:rPr>
        <w:t xml:space="preserve"> président. </w:t>
      </w:r>
      <w:r w:rsidR="008E3309" w:rsidRPr="008E3309">
        <w:rPr>
          <w:rFonts w:ascii="Calibri" w:hAnsi="Calibri" w:cs="Calibri"/>
          <w:sz w:val="24"/>
          <w:szCs w:val="24"/>
        </w:rPr>
        <w:t>Dans ce cas, le maire peut, même s'il n'est plus en fonction, assister à la discussion ; mais il doit se retirer au moment du vote.</w:t>
      </w:r>
    </w:p>
    <w:p w14:paraId="7529BAC1" w14:textId="02E9EAE6" w:rsidR="003922FF" w:rsidRDefault="003922FF" w:rsidP="003922FF">
      <w:pPr>
        <w:numPr>
          <w:ilvl w:val="0"/>
          <w:numId w:val="10"/>
        </w:numPr>
        <w:contextualSpacing/>
        <w:jc w:val="both"/>
        <w:rPr>
          <w:rFonts w:ascii="Calibri" w:hAnsi="Calibri" w:cs="Calibri"/>
          <w:sz w:val="24"/>
          <w:szCs w:val="24"/>
        </w:rPr>
      </w:pPr>
      <w:proofErr w:type="gramStart"/>
      <w:r>
        <w:rPr>
          <w:rFonts w:ascii="Calibri" w:hAnsi="Calibri" w:cs="Calibri"/>
          <w:sz w:val="24"/>
        </w:rPr>
        <w:t>le</w:t>
      </w:r>
      <w:proofErr w:type="gramEnd"/>
      <w:r>
        <w:rPr>
          <w:rFonts w:ascii="Calibri" w:hAnsi="Calibri" w:cs="Calibri"/>
          <w:sz w:val="24"/>
        </w:rPr>
        <w:t xml:space="preserve"> </w:t>
      </w:r>
      <w:r w:rsidR="009C1A99">
        <w:rPr>
          <w:rFonts w:ascii="Calibri" w:hAnsi="Calibri" w:cs="Calibri"/>
          <w:sz w:val="24"/>
        </w:rPr>
        <w:t xml:space="preserve">projet de compte financier unique 2025 élaboré par la commune et le service de gestion comptable du Touvet, </w:t>
      </w:r>
      <w:r>
        <w:rPr>
          <w:rFonts w:ascii="Calibri" w:hAnsi="Calibri" w:cs="Calibri"/>
          <w:sz w:val="24"/>
          <w:szCs w:val="24"/>
        </w:rPr>
        <w:t xml:space="preserve"> </w:t>
      </w:r>
    </w:p>
    <w:p w14:paraId="62E51B32" w14:textId="7F1BC86B" w:rsidR="00D261C5" w:rsidRDefault="00D261C5" w:rsidP="003922FF">
      <w:pPr>
        <w:numPr>
          <w:ilvl w:val="0"/>
          <w:numId w:val="10"/>
        </w:numPr>
        <w:contextualSpacing/>
        <w:jc w:val="both"/>
        <w:rPr>
          <w:rFonts w:ascii="Calibri" w:hAnsi="Calibri" w:cs="Calibri"/>
          <w:sz w:val="24"/>
          <w:szCs w:val="24"/>
        </w:rPr>
      </w:pPr>
      <w:proofErr w:type="gramStart"/>
      <w:r>
        <w:rPr>
          <w:rFonts w:ascii="Calibri" w:hAnsi="Calibri" w:cs="Calibri"/>
          <w:sz w:val="24"/>
          <w:szCs w:val="24"/>
        </w:rPr>
        <w:t>la</w:t>
      </w:r>
      <w:proofErr w:type="gramEnd"/>
      <w:r>
        <w:rPr>
          <w:rFonts w:ascii="Calibri" w:hAnsi="Calibri" w:cs="Calibri"/>
          <w:sz w:val="24"/>
          <w:szCs w:val="24"/>
        </w:rPr>
        <w:t xml:space="preserve"> délibération n°2026-014 du 24 février 2026 relative à la reprise anticipée des résultats 2025 de la commune, </w:t>
      </w:r>
    </w:p>
    <w:p w14:paraId="5CEE8415" w14:textId="77777777" w:rsidR="003922FF" w:rsidRDefault="003922FF" w:rsidP="003922FF">
      <w:pPr>
        <w:ind w:left="360"/>
        <w:contextualSpacing/>
        <w:jc w:val="both"/>
        <w:rPr>
          <w:rFonts w:ascii="Calibri" w:hAnsi="Calibri" w:cs="Calibri"/>
          <w:sz w:val="24"/>
          <w:szCs w:val="24"/>
        </w:rPr>
      </w:pPr>
    </w:p>
    <w:p w14:paraId="41BE9453" w14:textId="604F3865" w:rsidR="009C1A99" w:rsidRDefault="00D261C5" w:rsidP="003922FF">
      <w:pPr>
        <w:jc w:val="both"/>
        <w:rPr>
          <w:rFonts w:ascii="Calibri" w:hAnsi="Calibri" w:cs="Calibri"/>
          <w:sz w:val="24"/>
          <w:szCs w:val="24"/>
        </w:rPr>
      </w:pPr>
      <w:r>
        <w:rPr>
          <w:rFonts w:ascii="Calibri" w:hAnsi="Calibri" w:cs="Calibri"/>
          <w:sz w:val="24"/>
          <w:szCs w:val="24"/>
        </w:rPr>
        <w:t xml:space="preserve">Monsieur le Maire expose que </w:t>
      </w:r>
      <w:r w:rsidR="009C1A99">
        <w:rPr>
          <w:rFonts w:ascii="Calibri" w:hAnsi="Calibri" w:cs="Calibri"/>
          <w:sz w:val="24"/>
          <w:szCs w:val="24"/>
        </w:rPr>
        <w:t>la délibération présentant le compte financier unique ne peut être présenté</w:t>
      </w:r>
      <w:r w:rsidR="007A5EC4">
        <w:rPr>
          <w:rFonts w:ascii="Calibri" w:hAnsi="Calibri" w:cs="Calibri"/>
          <w:sz w:val="24"/>
          <w:szCs w:val="24"/>
        </w:rPr>
        <w:t xml:space="preserve">e par le Maire, qui ne peut pas </w:t>
      </w:r>
      <w:r w:rsidR="009C1A99">
        <w:rPr>
          <w:rFonts w:ascii="Calibri" w:hAnsi="Calibri" w:cs="Calibri"/>
          <w:sz w:val="24"/>
          <w:szCs w:val="24"/>
        </w:rPr>
        <w:t>prendre part à son vote. Il convient donc de procéder à la désignation d’un président de séance pour l’examen de cette délibération.</w:t>
      </w:r>
    </w:p>
    <w:p w14:paraId="247431C0" w14:textId="18A56074" w:rsidR="009C1A99" w:rsidRDefault="009C1A99" w:rsidP="003922FF">
      <w:pPr>
        <w:jc w:val="both"/>
        <w:rPr>
          <w:rFonts w:ascii="Calibri" w:hAnsi="Calibri" w:cs="Calibri"/>
          <w:sz w:val="24"/>
          <w:szCs w:val="24"/>
        </w:rPr>
      </w:pPr>
    </w:p>
    <w:p w14:paraId="1B72037B" w14:textId="567A4103" w:rsidR="009C1A99" w:rsidRDefault="009C1A99" w:rsidP="003922FF">
      <w:pPr>
        <w:jc w:val="both"/>
        <w:rPr>
          <w:rFonts w:ascii="Calibri" w:hAnsi="Calibri" w:cs="Calibri"/>
          <w:sz w:val="24"/>
          <w:szCs w:val="24"/>
        </w:rPr>
      </w:pPr>
      <w:r>
        <w:rPr>
          <w:rFonts w:ascii="Calibri" w:hAnsi="Calibri" w:cs="Calibri"/>
          <w:sz w:val="24"/>
          <w:szCs w:val="24"/>
        </w:rPr>
        <w:t>M./Mme … est élu président de séance … (</w:t>
      </w:r>
      <w:r w:rsidRPr="009C1A99">
        <w:rPr>
          <w:rFonts w:ascii="Calibri" w:hAnsi="Calibri" w:cs="Calibri"/>
          <w:i/>
          <w:sz w:val="24"/>
          <w:szCs w:val="24"/>
        </w:rPr>
        <w:t>à l’unanimité/par xx voix</w:t>
      </w:r>
      <w:r>
        <w:rPr>
          <w:rFonts w:ascii="Calibri" w:hAnsi="Calibri" w:cs="Calibri"/>
          <w:sz w:val="24"/>
          <w:szCs w:val="24"/>
        </w:rPr>
        <w:t xml:space="preserve">). </w:t>
      </w:r>
    </w:p>
    <w:p w14:paraId="499059A8" w14:textId="7F066672" w:rsidR="009C1A99" w:rsidRDefault="009C1A99" w:rsidP="003922FF">
      <w:pPr>
        <w:jc w:val="both"/>
        <w:rPr>
          <w:rFonts w:ascii="Calibri" w:hAnsi="Calibri" w:cs="Calibri"/>
          <w:sz w:val="24"/>
          <w:szCs w:val="24"/>
        </w:rPr>
      </w:pPr>
    </w:p>
    <w:p w14:paraId="28777F4B" w14:textId="62C0084F" w:rsidR="009C1A99" w:rsidRDefault="009C1A99" w:rsidP="003922FF">
      <w:pPr>
        <w:jc w:val="both"/>
      </w:pPr>
      <w:r>
        <w:rPr>
          <w:rFonts w:ascii="Calibri" w:hAnsi="Calibri" w:cs="Calibri"/>
          <w:sz w:val="24"/>
          <w:szCs w:val="24"/>
        </w:rPr>
        <w:t xml:space="preserve">M./Mme … expose que le compte financier unique </w:t>
      </w:r>
      <w:r w:rsidRPr="009C1A99">
        <w:rPr>
          <w:rFonts w:ascii="Calibri" w:hAnsi="Calibri" w:cs="Calibri"/>
          <w:sz w:val="24"/>
          <w:szCs w:val="24"/>
        </w:rPr>
        <w:t xml:space="preserve">est un document budgétaire commun à l’ordonnateur et au comptable qui remplace à la fois le compte administratif </w:t>
      </w:r>
      <w:r>
        <w:rPr>
          <w:rFonts w:ascii="Calibri" w:hAnsi="Calibri" w:cs="Calibri"/>
          <w:sz w:val="24"/>
          <w:szCs w:val="24"/>
        </w:rPr>
        <w:t xml:space="preserve">(tenu par l’ordonnateur) </w:t>
      </w:r>
      <w:r w:rsidRPr="009C1A99">
        <w:rPr>
          <w:rFonts w:ascii="Calibri" w:hAnsi="Calibri" w:cs="Calibri"/>
          <w:sz w:val="24"/>
          <w:szCs w:val="24"/>
        </w:rPr>
        <w:t>et le compte de gestion</w:t>
      </w:r>
      <w:r>
        <w:rPr>
          <w:rFonts w:ascii="Calibri" w:hAnsi="Calibri" w:cs="Calibri"/>
          <w:sz w:val="24"/>
          <w:szCs w:val="24"/>
        </w:rPr>
        <w:t xml:space="preserve"> (tenu par le comptable)</w:t>
      </w:r>
      <w:r w:rsidRPr="009C1A99">
        <w:rPr>
          <w:rFonts w:ascii="Calibri" w:hAnsi="Calibri" w:cs="Calibri"/>
          <w:sz w:val="24"/>
          <w:szCs w:val="24"/>
        </w:rPr>
        <w:t>, en les fusionnant en un seul document.</w:t>
      </w:r>
    </w:p>
    <w:p w14:paraId="4BC11471" w14:textId="0271C6B7" w:rsidR="009C1A99" w:rsidRDefault="009C1A99" w:rsidP="003922FF">
      <w:pPr>
        <w:jc w:val="both"/>
        <w:rPr>
          <w:rFonts w:ascii="Calibri" w:hAnsi="Calibri" w:cs="Calibri"/>
          <w:sz w:val="24"/>
          <w:szCs w:val="24"/>
        </w:rPr>
      </w:pPr>
      <w:r w:rsidRPr="009C1A99">
        <w:rPr>
          <w:rFonts w:ascii="Calibri" w:hAnsi="Calibri" w:cs="Calibri"/>
          <w:sz w:val="24"/>
          <w:szCs w:val="24"/>
        </w:rPr>
        <w:t>Il regroupe dans une présentation unique les données d’exécution budgétaire (recettes et dépenses) et les informations patrimoniales, afin de donner une vision synthétique et plus lisible de la situation financière de la collectivité.</w:t>
      </w:r>
    </w:p>
    <w:p w14:paraId="61E106C3" w14:textId="10CD4E19" w:rsidR="00D261C5" w:rsidRDefault="00D261C5" w:rsidP="003922FF">
      <w:pPr>
        <w:jc w:val="both"/>
        <w:rPr>
          <w:rFonts w:ascii="Calibri" w:hAnsi="Calibri" w:cs="Calibri"/>
          <w:sz w:val="24"/>
          <w:szCs w:val="24"/>
        </w:rPr>
      </w:pPr>
    </w:p>
    <w:p w14:paraId="563D4E37" w14:textId="346637A7" w:rsidR="00D261C5" w:rsidRDefault="00D261C5" w:rsidP="00D261C5">
      <w:pPr>
        <w:jc w:val="both"/>
        <w:rPr>
          <w:rFonts w:ascii="Calibri" w:hAnsi="Calibri" w:cs="Calibri"/>
          <w:sz w:val="24"/>
          <w:szCs w:val="24"/>
        </w:rPr>
      </w:pPr>
      <w:r>
        <w:rPr>
          <w:rFonts w:ascii="Calibri" w:hAnsi="Calibri" w:cs="Calibri"/>
          <w:sz w:val="24"/>
          <w:szCs w:val="24"/>
        </w:rPr>
        <w:t>En raison d’un problème technique national ayant frappé en janvier-février l’outil informatique permettant à la DGFIP de confectionner ce compte financier unique, il n’a pas été possible de procéder à son approbation au cours de la séance du 24 février 2026, préalablement à l’adoption du budget primitif 2026.</w:t>
      </w:r>
    </w:p>
    <w:p w14:paraId="2F39C4BD" w14:textId="5071C0AF" w:rsidR="00D261C5" w:rsidRDefault="00D261C5" w:rsidP="003922FF">
      <w:pPr>
        <w:jc w:val="both"/>
        <w:rPr>
          <w:rFonts w:ascii="Calibri" w:hAnsi="Calibri" w:cs="Calibri"/>
          <w:sz w:val="24"/>
          <w:szCs w:val="24"/>
        </w:rPr>
      </w:pPr>
    </w:p>
    <w:p w14:paraId="36F9CA33" w14:textId="523F4668" w:rsidR="00D261C5" w:rsidRDefault="00D261C5" w:rsidP="003922FF">
      <w:pPr>
        <w:jc w:val="both"/>
        <w:rPr>
          <w:rFonts w:ascii="Calibri" w:hAnsi="Calibri" w:cs="Calibri"/>
          <w:sz w:val="24"/>
          <w:szCs w:val="24"/>
        </w:rPr>
      </w:pPr>
      <w:r>
        <w:rPr>
          <w:rFonts w:ascii="Calibri" w:hAnsi="Calibri" w:cs="Calibri"/>
          <w:sz w:val="24"/>
          <w:szCs w:val="24"/>
        </w:rPr>
        <w:t>De fait, la commune a procédé à une reprise anticipée des résultats 2025 lors de la séance du conseil du 24 février</w:t>
      </w:r>
      <w:r w:rsidR="00FF569F">
        <w:rPr>
          <w:rFonts w:ascii="Calibri" w:hAnsi="Calibri" w:cs="Calibri"/>
          <w:sz w:val="24"/>
          <w:szCs w:val="24"/>
        </w:rPr>
        <w:t xml:space="preserve">. Il est en effet </w:t>
      </w:r>
      <w:r w:rsidR="00AE6043">
        <w:rPr>
          <w:rFonts w:ascii="Calibri" w:hAnsi="Calibri" w:cs="Calibri"/>
          <w:sz w:val="24"/>
          <w:szCs w:val="24"/>
        </w:rPr>
        <w:t>permis</w:t>
      </w:r>
      <w:r w:rsidR="00FF569F">
        <w:rPr>
          <w:rFonts w:ascii="Calibri" w:hAnsi="Calibri" w:cs="Calibri"/>
          <w:sz w:val="24"/>
          <w:szCs w:val="24"/>
        </w:rPr>
        <w:t xml:space="preserve"> d’adopter le compte financier jusqu’au 30 juin</w:t>
      </w:r>
      <w:r w:rsidR="00AE6043">
        <w:rPr>
          <w:rFonts w:ascii="Calibri" w:hAnsi="Calibri" w:cs="Calibri"/>
          <w:sz w:val="24"/>
          <w:szCs w:val="24"/>
        </w:rPr>
        <w:t xml:space="preserve"> de l’année suivant l’exercice auquel il se rapporte</w:t>
      </w:r>
      <w:r w:rsidR="00FF569F">
        <w:rPr>
          <w:rFonts w:ascii="Calibri" w:hAnsi="Calibri" w:cs="Calibri"/>
          <w:sz w:val="24"/>
          <w:szCs w:val="24"/>
        </w:rPr>
        <w:t>.</w:t>
      </w:r>
      <w:r>
        <w:rPr>
          <w:rFonts w:ascii="Calibri" w:hAnsi="Calibri" w:cs="Calibri"/>
          <w:sz w:val="24"/>
          <w:szCs w:val="24"/>
        </w:rPr>
        <w:t> </w:t>
      </w:r>
    </w:p>
    <w:p w14:paraId="607CE6D6" w14:textId="53751190" w:rsidR="00CE1B67" w:rsidRDefault="00CE1B67" w:rsidP="003922FF">
      <w:pPr>
        <w:jc w:val="both"/>
        <w:rPr>
          <w:rFonts w:ascii="Calibri" w:hAnsi="Calibri" w:cs="Calibri"/>
          <w:sz w:val="24"/>
          <w:szCs w:val="24"/>
        </w:rPr>
      </w:pPr>
      <w:r>
        <w:rPr>
          <w:rFonts w:ascii="Calibri" w:hAnsi="Calibri" w:cs="Calibri"/>
          <w:sz w:val="24"/>
          <w:szCs w:val="24"/>
        </w:rPr>
        <w:t xml:space="preserve">Voici les résultats tels que repris le 24 février : </w:t>
      </w:r>
    </w:p>
    <w:p w14:paraId="4D2FA0FF" w14:textId="37402EC1" w:rsidR="00CE1B67" w:rsidRDefault="00CE1B67" w:rsidP="003922FF">
      <w:pPr>
        <w:jc w:val="both"/>
        <w:rPr>
          <w:rFonts w:ascii="Calibri" w:hAnsi="Calibri" w:cs="Calibri"/>
          <w:sz w:val="24"/>
          <w:szCs w:val="24"/>
        </w:rPr>
      </w:pPr>
    </w:p>
    <w:p w14:paraId="344E6CF8" w14:textId="77777777" w:rsidR="00CE1B67" w:rsidRDefault="00CE1B67" w:rsidP="003922FF">
      <w:pPr>
        <w:jc w:val="both"/>
        <w:rPr>
          <w:rFonts w:ascii="Calibri" w:hAnsi="Calibri" w:cs="Calibri"/>
          <w:sz w:val="24"/>
          <w:szCs w:val="24"/>
        </w:rPr>
      </w:pPr>
    </w:p>
    <w:p w14:paraId="5FC3A14C" w14:textId="1905A8C2" w:rsidR="00D261C5" w:rsidRDefault="00D261C5" w:rsidP="003922FF">
      <w:pPr>
        <w:jc w:val="both"/>
        <w:rPr>
          <w:rFonts w:ascii="Calibri" w:hAnsi="Calibri" w:cs="Calibri"/>
          <w:sz w:val="24"/>
          <w:szCs w:val="24"/>
        </w:rPr>
      </w:pPr>
    </w:p>
    <w:tbl>
      <w:tblPr>
        <w:tblW w:w="8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9"/>
        <w:gridCol w:w="2015"/>
        <w:gridCol w:w="2091"/>
      </w:tblGrid>
      <w:tr w:rsidR="00D261C5" w14:paraId="33AFCF83" w14:textId="77777777" w:rsidTr="003C739A">
        <w:trPr>
          <w:jc w:val="center"/>
        </w:trPr>
        <w:tc>
          <w:tcPr>
            <w:tcW w:w="4279" w:type="dxa"/>
            <w:tcBorders>
              <w:top w:val="single" w:sz="4" w:space="0" w:color="auto"/>
              <w:left w:val="single" w:sz="4" w:space="0" w:color="auto"/>
              <w:bottom w:val="single" w:sz="4" w:space="0" w:color="auto"/>
              <w:right w:val="single" w:sz="4" w:space="0" w:color="auto"/>
            </w:tcBorders>
            <w:shd w:val="clear" w:color="auto" w:fill="D9D9D9"/>
          </w:tcPr>
          <w:p w14:paraId="56A4C05B" w14:textId="77777777" w:rsidR="00D261C5" w:rsidRDefault="00D261C5" w:rsidP="003C739A">
            <w:pPr>
              <w:spacing w:line="276" w:lineRule="auto"/>
              <w:jc w:val="center"/>
              <w:rPr>
                <w:rFonts w:ascii="Calibri" w:hAnsi="Calibri" w:cs="Calibri"/>
                <w:b/>
                <w:lang w:eastAsia="en-US"/>
              </w:rPr>
            </w:pPr>
          </w:p>
        </w:tc>
        <w:tc>
          <w:tcPr>
            <w:tcW w:w="20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7443B8" w14:textId="77777777" w:rsidR="00D261C5" w:rsidRDefault="00D261C5" w:rsidP="003C739A">
            <w:pPr>
              <w:spacing w:line="276" w:lineRule="auto"/>
              <w:jc w:val="center"/>
              <w:rPr>
                <w:rFonts w:ascii="Calibri" w:hAnsi="Calibri" w:cs="Calibri"/>
                <w:b/>
                <w:sz w:val="24"/>
                <w:szCs w:val="24"/>
                <w:lang w:eastAsia="en-US"/>
              </w:rPr>
            </w:pPr>
            <w:r>
              <w:rPr>
                <w:rFonts w:ascii="Calibri" w:hAnsi="Calibri" w:cs="Calibri"/>
                <w:b/>
                <w:sz w:val="24"/>
                <w:szCs w:val="24"/>
                <w:lang w:eastAsia="en-US"/>
              </w:rPr>
              <w:t>Section de fonctionnement</w:t>
            </w:r>
          </w:p>
        </w:tc>
        <w:tc>
          <w:tcPr>
            <w:tcW w:w="209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56A975" w14:textId="77777777" w:rsidR="00D261C5" w:rsidRDefault="00D261C5" w:rsidP="003C739A">
            <w:pPr>
              <w:spacing w:line="276" w:lineRule="auto"/>
              <w:jc w:val="center"/>
              <w:rPr>
                <w:rFonts w:ascii="Calibri" w:hAnsi="Calibri" w:cs="Calibri"/>
                <w:b/>
                <w:sz w:val="24"/>
                <w:szCs w:val="24"/>
                <w:lang w:eastAsia="en-US"/>
              </w:rPr>
            </w:pPr>
            <w:r>
              <w:rPr>
                <w:rFonts w:ascii="Calibri" w:hAnsi="Calibri" w:cs="Calibri"/>
                <w:b/>
                <w:sz w:val="24"/>
                <w:szCs w:val="24"/>
                <w:lang w:eastAsia="en-US"/>
              </w:rPr>
              <w:t>Section d’investissement</w:t>
            </w:r>
          </w:p>
        </w:tc>
      </w:tr>
      <w:tr w:rsidR="00D261C5" w14:paraId="358BE881" w14:textId="77777777" w:rsidTr="003C739A">
        <w:trPr>
          <w:jc w:val="center"/>
        </w:trPr>
        <w:tc>
          <w:tcPr>
            <w:tcW w:w="4279" w:type="dxa"/>
            <w:tcBorders>
              <w:top w:val="single" w:sz="4" w:space="0" w:color="auto"/>
              <w:left w:val="single" w:sz="4" w:space="0" w:color="auto"/>
              <w:bottom w:val="single" w:sz="4" w:space="0" w:color="auto"/>
              <w:right w:val="single" w:sz="4" w:space="0" w:color="auto"/>
            </w:tcBorders>
            <w:vAlign w:val="center"/>
            <w:hideMark/>
          </w:tcPr>
          <w:p w14:paraId="7AB89E8A" w14:textId="77777777" w:rsidR="00D261C5" w:rsidRDefault="00D261C5" w:rsidP="003C739A">
            <w:pPr>
              <w:spacing w:line="276" w:lineRule="auto"/>
              <w:jc w:val="center"/>
              <w:rPr>
                <w:rFonts w:ascii="Calibri" w:hAnsi="Calibri" w:cs="Calibri"/>
                <w:sz w:val="24"/>
                <w:szCs w:val="24"/>
                <w:lang w:eastAsia="en-US"/>
              </w:rPr>
            </w:pPr>
            <w:r>
              <w:rPr>
                <w:rFonts w:ascii="Calibri" w:hAnsi="Calibri" w:cs="Calibri"/>
                <w:sz w:val="24"/>
                <w:szCs w:val="24"/>
                <w:lang w:eastAsia="en-US"/>
              </w:rPr>
              <w:t>Recettes (Titres émis)</w:t>
            </w:r>
          </w:p>
        </w:tc>
        <w:tc>
          <w:tcPr>
            <w:tcW w:w="2015" w:type="dxa"/>
            <w:tcBorders>
              <w:top w:val="single" w:sz="4" w:space="0" w:color="auto"/>
              <w:left w:val="single" w:sz="4" w:space="0" w:color="auto"/>
              <w:bottom w:val="single" w:sz="4" w:space="0" w:color="auto"/>
              <w:right w:val="single" w:sz="4" w:space="0" w:color="auto"/>
            </w:tcBorders>
            <w:vAlign w:val="center"/>
            <w:hideMark/>
          </w:tcPr>
          <w:p w14:paraId="17A71F0D" w14:textId="77777777" w:rsidR="00D261C5" w:rsidRDefault="00D261C5" w:rsidP="003C739A">
            <w:pPr>
              <w:spacing w:line="276" w:lineRule="auto"/>
              <w:jc w:val="right"/>
              <w:rPr>
                <w:rFonts w:ascii="Calibri" w:hAnsi="Calibri" w:cs="Calibri"/>
                <w:b/>
                <w:lang w:eastAsia="en-US"/>
              </w:rPr>
            </w:pPr>
            <w:r>
              <w:rPr>
                <w:rFonts w:ascii="Calibri" w:hAnsi="Calibri" w:cs="Calibri"/>
                <w:b/>
                <w:lang w:eastAsia="en-US"/>
              </w:rPr>
              <w:t>3 598 982,65 €</w:t>
            </w:r>
          </w:p>
        </w:tc>
        <w:tc>
          <w:tcPr>
            <w:tcW w:w="2091" w:type="dxa"/>
            <w:tcBorders>
              <w:top w:val="single" w:sz="4" w:space="0" w:color="auto"/>
              <w:left w:val="single" w:sz="4" w:space="0" w:color="auto"/>
              <w:bottom w:val="single" w:sz="4" w:space="0" w:color="auto"/>
              <w:right w:val="single" w:sz="4" w:space="0" w:color="auto"/>
            </w:tcBorders>
            <w:vAlign w:val="center"/>
          </w:tcPr>
          <w:p w14:paraId="015F0693" w14:textId="77777777" w:rsidR="00D261C5" w:rsidRDefault="00D261C5" w:rsidP="003C739A">
            <w:pPr>
              <w:spacing w:line="276" w:lineRule="auto"/>
              <w:jc w:val="right"/>
              <w:rPr>
                <w:rFonts w:ascii="Calibri" w:hAnsi="Calibri" w:cs="Calibri"/>
                <w:b/>
                <w:lang w:eastAsia="en-US"/>
              </w:rPr>
            </w:pPr>
            <w:r>
              <w:rPr>
                <w:rFonts w:ascii="Calibri" w:hAnsi="Calibri" w:cs="Calibri"/>
                <w:b/>
                <w:lang w:eastAsia="en-US"/>
              </w:rPr>
              <w:t>3 584 696,82 €</w:t>
            </w:r>
          </w:p>
        </w:tc>
      </w:tr>
      <w:tr w:rsidR="00D261C5" w14:paraId="0DD109D2" w14:textId="77777777" w:rsidTr="003C739A">
        <w:trPr>
          <w:jc w:val="center"/>
        </w:trPr>
        <w:tc>
          <w:tcPr>
            <w:tcW w:w="4279" w:type="dxa"/>
            <w:tcBorders>
              <w:top w:val="single" w:sz="4" w:space="0" w:color="auto"/>
              <w:left w:val="single" w:sz="4" w:space="0" w:color="auto"/>
              <w:bottom w:val="single" w:sz="4" w:space="0" w:color="auto"/>
              <w:right w:val="single" w:sz="4" w:space="0" w:color="auto"/>
            </w:tcBorders>
            <w:vAlign w:val="center"/>
            <w:hideMark/>
          </w:tcPr>
          <w:p w14:paraId="5363720F" w14:textId="77777777" w:rsidR="00D261C5" w:rsidRDefault="00D261C5" w:rsidP="003C739A">
            <w:pPr>
              <w:spacing w:line="276" w:lineRule="auto"/>
              <w:jc w:val="center"/>
              <w:rPr>
                <w:rFonts w:ascii="Calibri" w:hAnsi="Calibri" w:cs="Calibri"/>
                <w:sz w:val="24"/>
                <w:szCs w:val="24"/>
                <w:lang w:eastAsia="en-US"/>
              </w:rPr>
            </w:pPr>
            <w:r>
              <w:rPr>
                <w:rFonts w:ascii="Calibri" w:hAnsi="Calibri" w:cs="Calibri"/>
                <w:sz w:val="24"/>
                <w:szCs w:val="24"/>
                <w:lang w:eastAsia="en-US"/>
              </w:rPr>
              <w:t>Dépenses (Mandats émis)</w:t>
            </w:r>
          </w:p>
        </w:tc>
        <w:tc>
          <w:tcPr>
            <w:tcW w:w="2015" w:type="dxa"/>
            <w:tcBorders>
              <w:top w:val="single" w:sz="4" w:space="0" w:color="auto"/>
              <w:left w:val="single" w:sz="4" w:space="0" w:color="auto"/>
              <w:bottom w:val="single" w:sz="4" w:space="0" w:color="auto"/>
              <w:right w:val="single" w:sz="4" w:space="0" w:color="auto"/>
            </w:tcBorders>
            <w:vAlign w:val="center"/>
          </w:tcPr>
          <w:p w14:paraId="291B7C8C" w14:textId="77777777" w:rsidR="00D261C5" w:rsidRDefault="00D261C5" w:rsidP="003C739A">
            <w:pPr>
              <w:spacing w:line="276" w:lineRule="auto"/>
              <w:jc w:val="right"/>
              <w:rPr>
                <w:rFonts w:ascii="Calibri" w:hAnsi="Calibri" w:cs="Calibri"/>
                <w:b/>
                <w:lang w:eastAsia="en-US"/>
              </w:rPr>
            </w:pPr>
            <w:r>
              <w:rPr>
                <w:rFonts w:ascii="Calibri" w:hAnsi="Calibri" w:cs="Calibri"/>
                <w:b/>
                <w:lang w:eastAsia="en-US"/>
              </w:rPr>
              <w:t>2 770 362,14 €</w:t>
            </w:r>
          </w:p>
        </w:tc>
        <w:tc>
          <w:tcPr>
            <w:tcW w:w="2091" w:type="dxa"/>
            <w:tcBorders>
              <w:top w:val="single" w:sz="4" w:space="0" w:color="auto"/>
              <w:left w:val="single" w:sz="4" w:space="0" w:color="auto"/>
              <w:bottom w:val="single" w:sz="4" w:space="0" w:color="auto"/>
              <w:right w:val="single" w:sz="4" w:space="0" w:color="auto"/>
            </w:tcBorders>
            <w:vAlign w:val="center"/>
          </w:tcPr>
          <w:p w14:paraId="1E85CB32" w14:textId="77777777" w:rsidR="00D261C5" w:rsidRDefault="00D261C5" w:rsidP="003C739A">
            <w:pPr>
              <w:spacing w:line="276" w:lineRule="auto"/>
              <w:jc w:val="right"/>
              <w:rPr>
                <w:rFonts w:ascii="Calibri" w:hAnsi="Calibri" w:cs="Calibri"/>
                <w:b/>
                <w:lang w:eastAsia="en-US"/>
              </w:rPr>
            </w:pPr>
            <w:r>
              <w:rPr>
                <w:rFonts w:ascii="Calibri" w:hAnsi="Calibri" w:cs="Calibri"/>
                <w:b/>
                <w:lang w:eastAsia="en-US"/>
              </w:rPr>
              <w:t>4 406 476,57 €</w:t>
            </w:r>
          </w:p>
        </w:tc>
      </w:tr>
      <w:tr w:rsidR="00D261C5" w14:paraId="10EF3CC4" w14:textId="77777777" w:rsidTr="003C739A">
        <w:trPr>
          <w:trHeight w:val="1003"/>
          <w:jc w:val="center"/>
        </w:trPr>
        <w:tc>
          <w:tcPr>
            <w:tcW w:w="4279" w:type="dxa"/>
            <w:tcBorders>
              <w:top w:val="single" w:sz="4" w:space="0" w:color="auto"/>
              <w:left w:val="single" w:sz="4" w:space="0" w:color="auto"/>
              <w:bottom w:val="single" w:sz="4" w:space="0" w:color="auto"/>
              <w:right w:val="single" w:sz="4" w:space="0" w:color="auto"/>
            </w:tcBorders>
            <w:vAlign w:val="center"/>
          </w:tcPr>
          <w:p w14:paraId="277269CC" w14:textId="77777777" w:rsidR="00D261C5" w:rsidRDefault="00D261C5" w:rsidP="003C739A">
            <w:pPr>
              <w:spacing w:line="276" w:lineRule="auto"/>
              <w:jc w:val="center"/>
              <w:rPr>
                <w:rFonts w:ascii="Calibri" w:hAnsi="Calibri" w:cs="Calibri"/>
                <w:b/>
                <w:sz w:val="24"/>
                <w:szCs w:val="24"/>
                <w:lang w:eastAsia="en-US"/>
              </w:rPr>
            </w:pPr>
          </w:p>
          <w:p w14:paraId="6B518CE6" w14:textId="77777777" w:rsidR="00D261C5" w:rsidRDefault="00D261C5" w:rsidP="003C739A">
            <w:pPr>
              <w:spacing w:line="276" w:lineRule="auto"/>
              <w:jc w:val="center"/>
              <w:rPr>
                <w:rFonts w:ascii="Calibri" w:hAnsi="Calibri" w:cs="Calibri"/>
                <w:b/>
                <w:sz w:val="24"/>
                <w:szCs w:val="24"/>
                <w:lang w:eastAsia="en-US"/>
              </w:rPr>
            </w:pPr>
            <w:r>
              <w:rPr>
                <w:rFonts w:ascii="Calibri" w:hAnsi="Calibri" w:cs="Calibri"/>
                <w:b/>
                <w:sz w:val="24"/>
                <w:szCs w:val="24"/>
                <w:lang w:eastAsia="en-US"/>
              </w:rPr>
              <w:t xml:space="preserve">Résultat de l’exercice au 31/12 </w:t>
            </w:r>
          </w:p>
          <w:p w14:paraId="329752EF" w14:textId="77777777" w:rsidR="00D261C5" w:rsidRDefault="00D261C5" w:rsidP="003C739A">
            <w:pPr>
              <w:spacing w:line="276" w:lineRule="auto"/>
              <w:jc w:val="center"/>
              <w:rPr>
                <w:rFonts w:ascii="Calibri" w:hAnsi="Calibri" w:cs="Calibri"/>
                <w:b/>
                <w:sz w:val="24"/>
                <w:szCs w:val="24"/>
                <w:lang w:eastAsia="en-US"/>
              </w:rPr>
            </w:pPr>
            <w:proofErr w:type="gramStart"/>
            <w:r>
              <w:rPr>
                <w:rFonts w:ascii="Calibri" w:hAnsi="Calibri" w:cs="Calibri"/>
                <w:b/>
                <w:sz w:val="24"/>
                <w:szCs w:val="24"/>
                <w:lang w:eastAsia="en-US"/>
              </w:rPr>
              <w:t>par</w:t>
            </w:r>
            <w:proofErr w:type="gramEnd"/>
            <w:r>
              <w:rPr>
                <w:rFonts w:ascii="Calibri" w:hAnsi="Calibri" w:cs="Calibri"/>
                <w:b/>
                <w:sz w:val="24"/>
                <w:szCs w:val="24"/>
                <w:lang w:eastAsia="en-US"/>
              </w:rPr>
              <w:t xml:space="preserve"> section</w:t>
            </w:r>
          </w:p>
          <w:p w14:paraId="72556C91" w14:textId="77777777" w:rsidR="00D261C5" w:rsidRDefault="00D261C5" w:rsidP="003C739A">
            <w:pPr>
              <w:spacing w:line="276" w:lineRule="auto"/>
              <w:jc w:val="center"/>
              <w:rPr>
                <w:rFonts w:ascii="Calibri" w:hAnsi="Calibri" w:cs="Calibri"/>
                <w:b/>
                <w:sz w:val="24"/>
                <w:szCs w:val="24"/>
                <w:lang w:eastAsia="en-US"/>
              </w:rPr>
            </w:pPr>
          </w:p>
        </w:tc>
        <w:tc>
          <w:tcPr>
            <w:tcW w:w="2015" w:type="dxa"/>
            <w:tcBorders>
              <w:top w:val="single" w:sz="4" w:space="0" w:color="auto"/>
              <w:left w:val="single" w:sz="4" w:space="0" w:color="auto"/>
              <w:bottom w:val="single" w:sz="4" w:space="0" w:color="auto"/>
              <w:right w:val="single" w:sz="4" w:space="0" w:color="auto"/>
            </w:tcBorders>
            <w:vAlign w:val="center"/>
          </w:tcPr>
          <w:p w14:paraId="5232FD65" w14:textId="77777777" w:rsidR="00D261C5" w:rsidRDefault="00D261C5" w:rsidP="003C739A">
            <w:pPr>
              <w:spacing w:line="276" w:lineRule="auto"/>
              <w:jc w:val="right"/>
              <w:rPr>
                <w:rFonts w:ascii="Calibri" w:hAnsi="Calibri" w:cs="Calibri"/>
                <w:b/>
                <w:lang w:eastAsia="en-US"/>
              </w:rPr>
            </w:pPr>
            <w:r>
              <w:rPr>
                <w:rFonts w:ascii="Calibri" w:hAnsi="Calibri" w:cs="Calibri"/>
                <w:b/>
                <w:lang w:eastAsia="en-US"/>
              </w:rPr>
              <w:t>828 620,51 €</w:t>
            </w:r>
          </w:p>
        </w:tc>
        <w:tc>
          <w:tcPr>
            <w:tcW w:w="2091" w:type="dxa"/>
            <w:tcBorders>
              <w:top w:val="single" w:sz="4" w:space="0" w:color="auto"/>
              <w:left w:val="single" w:sz="4" w:space="0" w:color="auto"/>
              <w:bottom w:val="single" w:sz="4" w:space="0" w:color="auto"/>
              <w:right w:val="single" w:sz="4" w:space="0" w:color="auto"/>
            </w:tcBorders>
            <w:vAlign w:val="center"/>
          </w:tcPr>
          <w:p w14:paraId="092FFC50" w14:textId="77777777" w:rsidR="00D261C5" w:rsidRDefault="00D261C5" w:rsidP="003C739A">
            <w:pPr>
              <w:pStyle w:val="Paragraphedeliste"/>
              <w:spacing w:line="276" w:lineRule="auto"/>
              <w:ind w:left="488"/>
              <w:jc w:val="right"/>
              <w:rPr>
                <w:rFonts w:ascii="Calibri" w:hAnsi="Calibri" w:cs="Calibri"/>
                <w:b/>
                <w:lang w:eastAsia="en-US"/>
              </w:rPr>
            </w:pPr>
            <w:r>
              <w:rPr>
                <w:rFonts w:ascii="Calibri" w:hAnsi="Calibri" w:cs="Calibri"/>
                <w:b/>
                <w:lang w:eastAsia="en-US"/>
              </w:rPr>
              <w:t>- 821 779,75 €</w:t>
            </w:r>
          </w:p>
        </w:tc>
      </w:tr>
      <w:tr w:rsidR="00D261C5" w14:paraId="0F22C779" w14:textId="77777777" w:rsidTr="003C739A">
        <w:trPr>
          <w:jc w:val="center"/>
        </w:trPr>
        <w:tc>
          <w:tcPr>
            <w:tcW w:w="4279" w:type="dxa"/>
            <w:tcBorders>
              <w:top w:val="single" w:sz="4" w:space="0" w:color="auto"/>
              <w:left w:val="single" w:sz="4" w:space="0" w:color="auto"/>
              <w:bottom w:val="single" w:sz="4" w:space="0" w:color="auto"/>
              <w:right w:val="single" w:sz="4" w:space="0" w:color="auto"/>
            </w:tcBorders>
            <w:vAlign w:val="center"/>
            <w:hideMark/>
          </w:tcPr>
          <w:p w14:paraId="44FAEB6B" w14:textId="77777777" w:rsidR="00D261C5" w:rsidRDefault="00D261C5" w:rsidP="003C739A">
            <w:pPr>
              <w:spacing w:line="276" w:lineRule="auto"/>
              <w:jc w:val="center"/>
              <w:rPr>
                <w:rFonts w:ascii="Calibri" w:hAnsi="Calibri" w:cs="Calibri"/>
                <w:b/>
                <w:sz w:val="24"/>
                <w:szCs w:val="24"/>
                <w:lang w:eastAsia="en-US"/>
              </w:rPr>
            </w:pPr>
            <w:r>
              <w:rPr>
                <w:rFonts w:ascii="Calibri" w:hAnsi="Calibri" w:cs="Calibri"/>
                <w:b/>
                <w:sz w:val="24"/>
                <w:szCs w:val="24"/>
                <w:lang w:eastAsia="en-US"/>
              </w:rPr>
              <w:t>Résultat antérieur reporté N-1 ou transfert de résultats</w:t>
            </w:r>
          </w:p>
        </w:tc>
        <w:tc>
          <w:tcPr>
            <w:tcW w:w="2015" w:type="dxa"/>
            <w:tcBorders>
              <w:top w:val="single" w:sz="4" w:space="0" w:color="auto"/>
              <w:left w:val="single" w:sz="4" w:space="0" w:color="auto"/>
              <w:bottom w:val="single" w:sz="4" w:space="0" w:color="auto"/>
              <w:right w:val="single" w:sz="4" w:space="0" w:color="auto"/>
            </w:tcBorders>
            <w:vAlign w:val="center"/>
            <w:hideMark/>
          </w:tcPr>
          <w:p w14:paraId="692634E5" w14:textId="77777777" w:rsidR="00D261C5" w:rsidRDefault="00D261C5" w:rsidP="003C739A">
            <w:pPr>
              <w:spacing w:line="276" w:lineRule="auto"/>
              <w:jc w:val="right"/>
              <w:rPr>
                <w:rFonts w:ascii="Calibri" w:hAnsi="Calibri" w:cs="Calibri"/>
                <w:b/>
                <w:lang w:eastAsia="en-US"/>
              </w:rPr>
            </w:pPr>
            <w:r>
              <w:rPr>
                <w:rFonts w:ascii="Calibri" w:hAnsi="Calibri" w:cs="Calibri"/>
                <w:b/>
                <w:lang w:eastAsia="en-US"/>
              </w:rPr>
              <w:t>0 €</w:t>
            </w:r>
          </w:p>
        </w:tc>
        <w:tc>
          <w:tcPr>
            <w:tcW w:w="2091" w:type="dxa"/>
            <w:tcBorders>
              <w:top w:val="single" w:sz="4" w:space="0" w:color="auto"/>
              <w:left w:val="single" w:sz="4" w:space="0" w:color="auto"/>
              <w:bottom w:val="single" w:sz="4" w:space="0" w:color="auto"/>
              <w:right w:val="single" w:sz="4" w:space="0" w:color="auto"/>
            </w:tcBorders>
            <w:vAlign w:val="center"/>
            <w:hideMark/>
          </w:tcPr>
          <w:p w14:paraId="79C82AE7" w14:textId="77777777" w:rsidR="00D261C5" w:rsidRDefault="00D261C5" w:rsidP="003C739A">
            <w:pPr>
              <w:pStyle w:val="Paragraphedeliste"/>
              <w:spacing w:line="276" w:lineRule="auto"/>
              <w:ind w:left="88"/>
              <w:jc w:val="right"/>
              <w:rPr>
                <w:rFonts w:ascii="Calibri" w:hAnsi="Calibri" w:cs="Calibri"/>
                <w:b/>
                <w:lang w:eastAsia="en-US"/>
              </w:rPr>
            </w:pPr>
            <w:r>
              <w:rPr>
                <w:rFonts w:ascii="Calibri" w:hAnsi="Calibri" w:cs="Calibri"/>
                <w:b/>
                <w:lang w:eastAsia="en-US"/>
              </w:rPr>
              <w:t>994 584,23 €</w:t>
            </w:r>
          </w:p>
        </w:tc>
      </w:tr>
      <w:tr w:rsidR="00D261C5" w14:paraId="0390AE46" w14:textId="77777777" w:rsidTr="003C739A">
        <w:trPr>
          <w:trHeight w:val="959"/>
          <w:jc w:val="center"/>
        </w:trPr>
        <w:tc>
          <w:tcPr>
            <w:tcW w:w="4279" w:type="dxa"/>
            <w:tcBorders>
              <w:top w:val="single" w:sz="4" w:space="0" w:color="auto"/>
              <w:left w:val="single" w:sz="4" w:space="0" w:color="auto"/>
              <w:bottom w:val="single" w:sz="4" w:space="0" w:color="auto"/>
              <w:right w:val="single" w:sz="4" w:space="0" w:color="auto"/>
            </w:tcBorders>
            <w:vAlign w:val="center"/>
          </w:tcPr>
          <w:p w14:paraId="444B21A2" w14:textId="77777777" w:rsidR="00D261C5" w:rsidRDefault="00D261C5" w:rsidP="003C739A">
            <w:pPr>
              <w:spacing w:line="276" w:lineRule="auto"/>
              <w:jc w:val="center"/>
              <w:rPr>
                <w:rFonts w:ascii="Calibri" w:hAnsi="Calibri" w:cs="Calibri"/>
                <w:b/>
                <w:sz w:val="24"/>
                <w:szCs w:val="24"/>
                <w:lang w:eastAsia="en-US"/>
              </w:rPr>
            </w:pPr>
          </w:p>
          <w:p w14:paraId="115611EE" w14:textId="77777777" w:rsidR="00D261C5" w:rsidRDefault="00D261C5" w:rsidP="003C739A">
            <w:pPr>
              <w:spacing w:line="276" w:lineRule="auto"/>
              <w:jc w:val="center"/>
              <w:rPr>
                <w:rFonts w:ascii="Calibri" w:hAnsi="Calibri" w:cs="Calibri"/>
                <w:b/>
                <w:sz w:val="24"/>
                <w:szCs w:val="24"/>
                <w:lang w:eastAsia="en-US"/>
              </w:rPr>
            </w:pPr>
            <w:r>
              <w:rPr>
                <w:rFonts w:ascii="Calibri" w:hAnsi="Calibri" w:cs="Calibri"/>
                <w:b/>
                <w:sz w:val="24"/>
                <w:szCs w:val="24"/>
                <w:lang w:eastAsia="en-US"/>
              </w:rPr>
              <w:t xml:space="preserve">Résultat final par section au 31/12 </w:t>
            </w:r>
          </w:p>
          <w:p w14:paraId="2DFA9547" w14:textId="77777777" w:rsidR="00D261C5" w:rsidRDefault="00D261C5" w:rsidP="003C739A">
            <w:pPr>
              <w:spacing w:line="276" w:lineRule="auto"/>
              <w:jc w:val="center"/>
              <w:rPr>
                <w:rFonts w:ascii="Calibri" w:hAnsi="Calibri" w:cs="Calibri"/>
                <w:b/>
                <w:sz w:val="24"/>
                <w:szCs w:val="24"/>
                <w:lang w:eastAsia="en-US"/>
              </w:rPr>
            </w:pPr>
          </w:p>
        </w:tc>
        <w:tc>
          <w:tcPr>
            <w:tcW w:w="2015" w:type="dxa"/>
            <w:tcBorders>
              <w:top w:val="single" w:sz="4" w:space="0" w:color="auto"/>
              <w:left w:val="single" w:sz="4" w:space="0" w:color="auto"/>
              <w:bottom w:val="single" w:sz="4" w:space="0" w:color="auto"/>
              <w:right w:val="single" w:sz="4" w:space="0" w:color="auto"/>
            </w:tcBorders>
            <w:vAlign w:val="center"/>
            <w:hideMark/>
          </w:tcPr>
          <w:p w14:paraId="013D9904" w14:textId="77777777" w:rsidR="00D261C5" w:rsidRDefault="00D261C5" w:rsidP="003C739A">
            <w:pPr>
              <w:spacing w:line="276" w:lineRule="auto"/>
              <w:ind w:left="360"/>
              <w:jc w:val="right"/>
              <w:rPr>
                <w:rFonts w:ascii="Calibri" w:hAnsi="Calibri" w:cs="Calibri"/>
                <w:b/>
                <w:lang w:eastAsia="en-US"/>
              </w:rPr>
            </w:pPr>
            <w:r>
              <w:rPr>
                <w:rFonts w:ascii="Calibri" w:hAnsi="Calibri" w:cs="Calibri"/>
                <w:b/>
                <w:lang w:eastAsia="en-US"/>
              </w:rPr>
              <w:t>828 620,51 €</w:t>
            </w:r>
          </w:p>
        </w:tc>
        <w:tc>
          <w:tcPr>
            <w:tcW w:w="2091" w:type="dxa"/>
            <w:tcBorders>
              <w:top w:val="single" w:sz="4" w:space="0" w:color="auto"/>
              <w:left w:val="single" w:sz="4" w:space="0" w:color="auto"/>
              <w:bottom w:val="single" w:sz="4" w:space="0" w:color="auto"/>
              <w:right w:val="single" w:sz="4" w:space="0" w:color="auto"/>
            </w:tcBorders>
            <w:vAlign w:val="center"/>
            <w:hideMark/>
          </w:tcPr>
          <w:p w14:paraId="3323E839" w14:textId="77777777" w:rsidR="00D261C5" w:rsidRDefault="00D261C5" w:rsidP="003C739A">
            <w:pPr>
              <w:pStyle w:val="Paragraphedeliste"/>
              <w:spacing w:line="276" w:lineRule="auto"/>
              <w:jc w:val="center"/>
              <w:rPr>
                <w:rFonts w:ascii="Calibri" w:hAnsi="Calibri" w:cs="Calibri"/>
                <w:b/>
                <w:highlight w:val="yellow"/>
                <w:lang w:eastAsia="en-US"/>
              </w:rPr>
            </w:pPr>
            <w:r>
              <w:rPr>
                <w:rFonts w:ascii="Calibri" w:hAnsi="Calibri" w:cs="Calibri"/>
                <w:b/>
                <w:lang w:eastAsia="en-US"/>
              </w:rPr>
              <w:t>172 804,48 €</w:t>
            </w:r>
          </w:p>
        </w:tc>
      </w:tr>
      <w:tr w:rsidR="00D261C5" w14:paraId="2145AD2E" w14:textId="77777777" w:rsidTr="003C739A">
        <w:trPr>
          <w:trHeight w:val="959"/>
          <w:jc w:val="center"/>
        </w:trPr>
        <w:tc>
          <w:tcPr>
            <w:tcW w:w="4279" w:type="dxa"/>
            <w:tcBorders>
              <w:top w:val="single" w:sz="4" w:space="0" w:color="auto"/>
              <w:left w:val="single" w:sz="4" w:space="0" w:color="auto"/>
              <w:bottom w:val="single" w:sz="4" w:space="0" w:color="auto"/>
              <w:right w:val="single" w:sz="4" w:space="0" w:color="auto"/>
            </w:tcBorders>
            <w:vAlign w:val="center"/>
            <w:hideMark/>
          </w:tcPr>
          <w:p w14:paraId="607A710E" w14:textId="77777777" w:rsidR="00D261C5" w:rsidRDefault="00D261C5" w:rsidP="003C739A">
            <w:pPr>
              <w:spacing w:line="276" w:lineRule="auto"/>
              <w:jc w:val="center"/>
              <w:rPr>
                <w:rFonts w:ascii="Calibri" w:hAnsi="Calibri" w:cs="Calibri"/>
                <w:b/>
                <w:sz w:val="24"/>
                <w:szCs w:val="24"/>
                <w:lang w:eastAsia="en-US"/>
              </w:rPr>
            </w:pPr>
            <w:r>
              <w:rPr>
                <w:rFonts w:ascii="Calibri" w:hAnsi="Calibri" w:cs="Calibri"/>
                <w:b/>
                <w:sz w:val="24"/>
                <w:szCs w:val="24"/>
                <w:lang w:eastAsia="en-US"/>
              </w:rPr>
              <w:t xml:space="preserve">Résultat de clôture </w:t>
            </w:r>
          </w:p>
        </w:tc>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5450226E" w14:textId="77777777" w:rsidR="00D261C5" w:rsidRDefault="00D261C5" w:rsidP="003C739A">
            <w:pPr>
              <w:spacing w:line="276" w:lineRule="auto"/>
              <w:jc w:val="center"/>
              <w:rPr>
                <w:rFonts w:ascii="Calibri" w:hAnsi="Calibri" w:cs="Calibri"/>
                <w:b/>
                <w:lang w:eastAsia="en-US"/>
              </w:rPr>
            </w:pPr>
            <w:r>
              <w:rPr>
                <w:rFonts w:ascii="Calibri" w:hAnsi="Calibri" w:cs="Calibri"/>
                <w:b/>
                <w:lang w:eastAsia="en-US"/>
              </w:rPr>
              <w:t>1 001 424,99 €</w:t>
            </w:r>
          </w:p>
        </w:tc>
      </w:tr>
    </w:tbl>
    <w:p w14:paraId="0927CB09" w14:textId="091181AD" w:rsidR="00D261C5" w:rsidRDefault="00D261C5" w:rsidP="003922FF">
      <w:pPr>
        <w:jc w:val="both"/>
        <w:rPr>
          <w:rFonts w:ascii="Calibri" w:hAnsi="Calibri" w:cs="Calibri"/>
          <w:sz w:val="24"/>
          <w:szCs w:val="24"/>
        </w:rPr>
      </w:pPr>
    </w:p>
    <w:p w14:paraId="7FA873A7" w14:textId="33099ED0" w:rsidR="00D261C5" w:rsidRDefault="00D261C5" w:rsidP="003922FF">
      <w:pPr>
        <w:jc w:val="both"/>
        <w:rPr>
          <w:rFonts w:ascii="Calibri" w:hAnsi="Calibri" w:cs="Calibri"/>
          <w:sz w:val="24"/>
          <w:szCs w:val="24"/>
        </w:rPr>
      </w:pPr>
      <w:r>
        <w:rPr>
          <w:rFonts w:ascii="Calibri" w:hAnsi="Calibri" w:cs="Calibri"/>
          <w:sz w:val="24"/>
          <w:szCs w:val="24"/>
        </w:rPr>
        <w:t>Il est désormais possible de procéder à l’adoption du compte financier unique 2025, qui p</w:t>
      </w:r>
      <w:r w:rsidR="00CE1B67">
        <w:rPr>
          <w:rFonts w:ascii="Calibri" w:hAnsi="Calibri" w:cs="Calibri"/>
          <w:sz w:val="24"/>
          <w:szCs w:val="24"/>
        </w:rPr>
        <w:t>ermet de rendre définitives</w:t>
      </w:r>
      <w:r>
        <w:rPr>
          <w:rFonts w:ascii="Calibri" w:hAnsi="Calibri" w:cs="Calibri"/>
          <w:sz w:val="24"/>
          <w:szCs w:val="24"/>
        </w:rPr>
        <w:t xml:space="preserve"> la reprise des résultats 2025 et leur affectation sur l’exercice 2026. </w:t>
      </w:r>
    </w:p>
    <w:p w14:paraId="09933561" w14:textId="2F7FDAEA" w:rsidR="009C1A99" w:rsidRDefault="009C1A99" w:rsidP="009C1A99">
      <w:pPr>
        <w:jc w:val="both"/>
        <w:rPr>
          <w:rFonts w:ascii="Calibri" w:hAnsi="Calibri" w:cs="Calibri"/>
          <w:sz w:val="24"/>
          <w:szCs w:val="24"/>
        </w:rPr>
      </w:pPr>
    </w:p>
    <w:p w14:paraId="2EBEC711" w14:textId="76A14200" w:rsidR="009C1A99" w:rsidRDefault="009C1A99" w:rsidP="009C1A99">
      <w:pPr>
        <w:jc w:val="both"/>
        <w:rPr>
          <w:rFonts w:ascii="Calibri" w:hAnsi="Calibri" w:cs="Calibri"/>
          <w:sz w:val="24"/>
          <w:szCs w:val="24"/>
        </w:rPr>
      </w:pPr>
      <w:r>
        <w:rPr>
          <w:rFonts w:ascii="Calibri" w:hAnsi="Calibri" w:cs="Calibri"/>
          <w:sz w:val="24"/>
          <w:szCs w:val="24"/>
        </w:rPr>
        <w:t xml:space="preserve">M./Mme… effectue une présentation du compte financier unique de la commune portant sur l’année 2025. </w:t>
      </w:r>
    </w:p>
    <w:p w14:paraId="5EF4610D" w14:textId="77777777" w:rsidR="003922FF" w:rsidRDefault="003922FF" w:rsidP="003922FF">
      <w:pPr>
        <w:jc w:val="both"/>
        <w:rPr>
          <w:rFonts w:ascii="Calibri" w:hAnsi="Calibri" w:cs="Calibri"/>
          <w:sz w:val="24"/>
          <w:szCs w:val="24"/>
        </w:rPr>
      </w:pPr>
    </w:p>
    <w:p w14:paraId="603C1ACB" w14:textId="32D4F42F" w:rsidR="003922FF" w:rsidRDefault="003922FF" w:rsidP="003922FF">
      <w:pPr>
        <w:jc w:val="both"/>
        <w:rPr>
          <w:rFonts w:ascii="Calibri" w:hAnsi="Calibri" w:cs="Calibri"/>
          <w:sz w:val="24"/>
          <w:szCs w:val="24"/>
        </w:rPr>
      </w:pPr>
      <w:r>
        <w:rPr>
          <w:rFonts w:ascii="Calibri" w:hAnsi="Calibri" w:cs="Calibri"/>
          <w:sz w:val="24"/>
          <w:szCs w:val="24"/>
        </w:rPr>
        <w:t xml:space="preserve">Après en avoir délibéré, le Conseil municipal décide d’approuver le compte </w:t>
      </w:r>
      <w:r w:rsidR="004F235F">
        <w:rPr>
          <w:rFonts w:ascii="Calibri" w:hAnsi="Calibri" w:cs="Calibri"/>
          <w:sz w:val="24"/>
          <w:szCs w:val="24"/>
        </w:rPr>
        <w:t>financier unique 2025</w:t>
      </w:r>
      <w:r>
        <w:rPr>
          <w:rFonts w:ascii="Calibri" w:hAnsi="Calibri" w:cs="Calibri"/>
          <w:sz w:val="24"/>
          <w:szCs w:val="24"/>
        </w:rPr>
        <w:t xml:space="preserve"> de la commune.</w:t>
      </w:r>
    </w:p>
    <w:p w14:paraId="7CDCCD3C" w14:textId="77777777" w:rsidR="003922FF" w:rsidRDefault="003922FF" w:rsidP="003922FF">
      <w:pPr>
        <w:jc w:val="both"/>
        <w:rPr>
          <w:rFonts w:ascii="Calibri" w:hAnsi="Calibri" w:cs="Calibri"/>
          <w:sz w:val="24"/>
          <w:szCs w:val="24"/>
        </w:rPr>
      </w:pPr>
    </w:p>
    <w:p w14:paraId="3DBA81CA" w14:textId="77777777" w:rsidR="003922FF" w:rsidRDefault="003922FF" w:rsidP="003922FF">
      <w:pPr>
        <w:jc w:val="both"/>
        <w:rPr>
          <w:rFonts w:ascii="Calibri" w:hAnsi="Calibri" w:cs="Calibri"/>
          <w:sz w:val="24"/>
          <w:szCs w:val="24"/>
        </w:rPr>
      </w:pPr>
      <w:r>
        <w:rPr>
          <w:rFonts w:ascii="Calibri" w:hAnsi="Calibri" w:cs="Calibri"/>
          <w:sz w:val="24"/>
          <w:szCs w:val="24"/>
        </w:rPr>
        <w:t>Ce document fait apparaître les résultats de clôture suivants :</w:t>
      </w:r>
    </w:p>
    <w:p w14:paraId="3711FA20" w14:textId="23EA0217" w:rsidR="003922FF" w:rsidRDefault="003922FF" w:rsidP="003922FF">
      <w:pPr>
        <w:jc w:val="both"/>
        <w:rPr>
          <w:rFonts w:ascii="Calibri" w:hAnsi="Calibri" w:cs="Calibri"/>
          <w:sz w:val="24"/>
          <w:szCs w:val="24"/>
        </w:rPr>
      </w:pPr>
    </w:p>
    <w:tbl>
      <w:tblPr>
        <w:tblW w:w="8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9"/>
        <w:gridCol w:w="2015"/>
        <w:gridCol w:w="2091"/>
      </w:tblGrid>
      <w:tr w:rsidR="00D261C5" w14:paraId="0DA1D88F" w14:textId="77777777" w:rsidTr="003C739A">
        <w:trPr>
          <w:jc w:val="center"/>
        </w:trPr>
        <w:tc>
          <w:tcPr>
            <w:tcW w:w="4279" w:type="dxa"/>
            <w:tcBorders>
              <w:top w:val="single" w:sz="4" w:space="0" w:color="auto"/>
              <w:left w:val="single" w:sz="4" w:space="0" w:color="auto"/>
              <w:bottom w:val="single" w:sz="4" w:space="0" w:color="auto"/>
              <w:right w:val="single" w:sz="4" w:space="0" w:color="auto"/>
            </w:tcBorders>
            <w:shd w:val="clear" w:color="auto" w:fill="D9D9D9"/>
          </w:tcPr>
          <w:p w14:paraId="02693B8F" w14:textId="77777777" w:rsidR="00D261C5" w:rsidRDefault="00D261C5" w:rsidP="003C739A">
            <w:pPr>
              <w:spacing w:line="276" w:lineRule="auto"/>
              <w:jc w:val="center"/>
              <w:rPr>
                <w:rFonts w:ascii="Calibri" w:hAnsi="Calibri" w:cs="Calibri"/>
                <w:b/>
                <w:lang w:eastAsia="en-US"/>
              </w:rPr>
            </w:pPr>
          </w:p>
        </w:tc>
        <w:tc>
          <w:tcPr>
            <w:tcW w:w="20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E9479" w14:textId="77777777" w:rsidR="00D261C5" w:rsidRDefault="00D261C5" w:rsidP="003C739A">
            <w:pPr>
              <w:spacing w:line="276" w:lineRule="auto"/>
              <w:jc w:val="center"/>
              <w:rPr>
                <w:rFonts w:ascii="Calibri" w:hAnsi="Calibri" w:cs="Calibri"/>
                <w:b/>
                <w:sz w:val="24"/>
                <w:szCs w:val="24"/>
                <w:lang w:eastAsia="en-US"/>
              </w:rPr>
            </w:pPr>
            <w:r>
              <w:rPr>
                <w:rFonts w:ascii="Calibri" w:hAnsi="Calibri" w:cs="Calibri"/>
                <w:b/>
                <w:sz w:val="24"/>
                <w:szCs w:val="24"/>
                <w:lang w:eastAsia="en-US"/>
              </w:rPr>
              <w:t>Section de fonctionnement</w:t>
            </w:r>
          </w:p>
        </w:tc>
        <w:tc>
          <w:tcPr>
            <w:tcW w:w="209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32B04A" w14:textId="77777777" w:rsidR="00D261C5" w:rsidRDefault="00D261C5" w:rsidP="003C739A">
            <w:pPr>
              <w:spacing w:line="276" w:lineRule="auto"/>
              <w:jc w:val="center"/>
              <w:rPr>
                <w:rFonts w:ascii="Calibri" w:hAnsi="Calibri" w:cs="Calibri"/>
                <w:b/>
                <w:sz w:val="24"/>
                <w:szCs w:val="24"/>
                <w:lang w:eastAsia="en-US"/>
              </w:rPr>
            </w:pPr>
            <w:r>
              <w:rPr>
                <w:rFonts w:ascii="Calibri" w:hAnsi="Calibri" w:cs="Calibri"/>
                <w:b/>
                <w:sz w:val="24"/>
                <w:szCs w:val="24"/>
                <w:lang w:eastAsia="en-US"/>
              </w:rPr>
              <w:t>Section d’investissement</w:t>
            </w:r>
          </w:p>
        </w:tc>
      </w:tr>
      <w:tr w:rsidR="00D261C5" w14:paraId="5C0B8183" w14:textId="77777777" w:rsidTr="003C739A">
        <w:trPr>
          <w:jc w:val="center"/>
        </w:trPr>
        <w:tc>
          <w:tcPr>
            <w:tcW w:w="4279" w:type="dxa"/>
            <w:tcBorders>
              <w:top w:val="single" w:sz="4" w:space="0" w:color="auto"/>
              <w:left w:val="single" w:sz="4" w:space="0" w:color="auto"/>
              <w:bottom w:val="single" w:sz="4" w:space="0" w:color="auto"/>
              <w:right w:val="single" w:sz="4" w:space="0" w:color="auto"/>
            </w:tcBorders>
            <w:vAlign w:val="center"/>
            <w:hideMark/>
          </w:tcPr>
          <w:p w14:paraId="14FD98FA" w14:textId="77777777" w:rsidR="00D261C5" w:rsidRDefault="00D261C5" w:rsidP="003C739A">
            <w:pPr>
              <w:spacing w:line="276" w:lineRule="auto"/>
              <w:jc w:val="center"/>
              <w:rPr>
                <w:rFonts w:ascii="Calibri" w:hAnsi="Calibri" w:cs="Calibri"/>
                <w:sz w:val="24"/>
                <w:szCs w:val="24"/>
                <w:lang w:eastAsia="en-US"/>
              </w:rPr>
            </w:pPr>
            <w:r>
              <w:rPr>
                <w:rFonts w:ascii="Calibri" w:hAnsi="Calibri" w:cs="Calibri"/>
                <w:sz w:val="24"/>
                <w:szCs w:val="24"/>
                <w:lang w:eastAsia="en-US"/>
              </w:rPr>
              <w:t>Recettes (Titres émis)</w:t>
            </w:r>
          </w:p>
        </w:tc>
        <w:tc>
          <w:tcPr>
            <w:tcW w:w="2015" w:type="dxa"/>
            <w:tcBorders>
              <w:top w:val="single" w:sz="4" w:space="0" w:color="auto"/>
              <w:left w:val="single" w:sz="4" w:space="0" w:color="auto"/>
              <w:bottom w:val="single" w:sz="4" w:space="0" w:color="auto"/>
              <w:right w:val="single" w:sz="4" w:space="0" w:color="auto"/>
            </w:tcBorders>
            <w:vAlign w:val="center"/>
            <w:hideMark/>
          </w:tcPr>
          <w:p w14:paraId="5FE27D0B" w14:textId="77777777" w:rsidR="00D261C5" w:rsidRDefault="00D261C5" w:rsidP="003C739A">
            <w:pPr>
              <w:spacing w:line="276" w:lineRule="auto"/>
              <w:jc w:val="right"/>
              <w:rPr>
                <w:rFonts w:ascii="Calibri" w:hAnsi="Calibri" w:cs="Calibri"/>
                <w:b/>
                <w:lang w:eastAsia="en-US"/>
              </w:rPr>
            </w:pPr>
            <w:r>
              <w:rPr>
                <w:rFonts w:ascii="Calibri" w:hAnsi="Calibri" w:cs="Calibri"/>
                <w:b/>
                <w:lang w:eastAsia="en-US"/>
              </w:rPr>
              <w:t>3 598 982,65 €</w:t>
            </w:r>
          </w:p>
        </w:tc>
        <w:tc>
          <w:tcPr>
            <w:tcW w:w="2091" w:type="dxa"/>
            <w:tcBorders>
              <w:top w:val="single" w:sz="4" w:space="0" w:color="auto"/>
              <w:left w:val="single" w:sz="4" w:space="0" w:color="auto"/>
              <w:bottom w:val="single" w:sz="4" w:space="0" w:color="auto"/>
              <w:right w:val="single" w:sz="4" w:space="0" w:color="auto"/>
            </w:tcBorders>
            <w:vAlign w:val="center"/>
          </w:tcPr>
          <w:p w14:paraId="0EE4011D" w14:textId="77777777" w:rsidR="00D261C5" w:rsidRDefault="00D261C5" w:rsidP="003C739A">
            <w:pPr>
              <w:spacing w:line="276" w:lineRule="auto"/>
              <w:jc w:val="right"/>
              <w:rPr>
                <w:rFonts w:ascii="Calibri" w:hAnsi="Calibri" w:cs="Calibri"/>
                <w:b/>
                <w:lang w:eastAsia="en-US"/>
              </w:rPr>
            </w:pPr>
            <w:r>
              <w:rPr>
                <w:rFonts w:ascii="Calibri" w:hAnsi="Calibri" w:cs="Calibri"/>
                <w:b/>
                <w:lang w:eastAsia="en-US"/>
              </w:rPr>
              <w:t>3 584 696,82 €</w:t>
            </w:r>
          </w:p>
        </w:tc>
      </w:tr>
      <w:tr w:rsidR="00D261C5" w14:paraId="3E3858CF" w14:textId="77777777" w:rsidTr="003C739A">
        <w:trPr>
          <w:jc w:val="center"/>
        </w:trPr>
        <w:tc>
          <w:tcPr>
            <w:tcW w:w="4279" w:type="dxa"/>
            <w:tcBorders>
              <w:top w:val="single" w:sz="4" w:space="0" w:color="auto"/>
              <w:left w:val="single" w:sz="4" w:space="0" w:color="auto"/>
              <w:bottom w:val="single" w:sz="4" w:space="0" w:color="auto"/>
              <w:right w:val="single" w:sz="4" w:space="0" w:color="auto"/>
            </w:tcBorders>
            <w:vAlign w:val="center"/>
            <w:hideMark/>
          </w:tcPr>
          <w:p w14:paraId="40745F79" w14:textId="77777777" w:rsidR="00D261C5" w:rsidRDefault="00D261C5" w:rsidP="003C739A">
            <w:pPr>
              <w:spacing w:line="276" w:lineRule="auto"/>
              <w:jc w:val="center"/>
              <w:rPr>
                <w:rFonts w:ascii="Calibri" w:hAnsi="Calibri" w:cs="Calibri"/>
                <w:sz w:val="24"/>
                <w:szCs w:val="24"/>
                <w:lang w:eastAsia="en-US"/>
              </w:rPr>
            </w:pPr>
            <w:r>
              <w:rPr>
                <w:rFonts w:ascii="Calibri" w:hAnsi="Calibri" w:cs="Calibri"/>
                <w:sz w:val="24"/>
                <w:szCs w:val="24"/>
                <w:lang w:eastAsia="en-US"/>
              </w:rPr>
              <w:t>Dépenses (Mandats émis)</w:t>
            </w:r>
          </w:p>
        </w:tc>
        <w:tc>
          <w:tcPr>
            <w:tcW w:w="2015" w:type="dxa"/>
            <w:tcBorders>
              <w:top w:val="single" w:sz="4" w:space="0" w:color="auto"/>
              <w:left w:val="single" w:sz="4" w:space="0" w:color="auto"/>
              <w:bottom w:val="single" w:sz="4" w:space="0" w:color="auto"/>
              <w:right w:val="single" w:sz="4" w:space="0" w:color="auto"/>
            </w:tcBorders>
            <w:vAlign w:val="center"/>
          </w:tcPr>
          <w:p w14:paraId="4B7F797A" w14:textId="77777777" w:rsidR="00D261C5" w:rsidRDefault="00D261C5" w:rsidP="003C739A">
            <w:pPr>
              <w:spacing w:line="276" w:lineRule="auto"/>
              <w:jc w:val="right"/>
              <w:rPr>
                <w:rFonts w:ascii="Calibri" w:hAnsi="Calibri" w:cs="Calibri"/>
                <w:b/>
                <w:lang w:eastAsia="en-US"/>
              </w:rPr>
            </w:pPr>
            <w:r>
              <w:rPr>
                <w:rFonts w:ascii="Calibri" w:hAnsi="Calibri" w:cs="Calibri"/>
                <w:b/>
                <w:lang w:eastAsia="en-US"/>
              </w:rPr>
              <w:t>2 770 362,14 €</w:t>
            </w:r>
          </w:p>
        </w:tc>
        <w:tc>
          <w:tcPr>
            <w:tcW w:w="2091" w:type="dxa"/>
            <w:tcBorders>
              <w:top w:val="single" w:sz="4" w:space="0" w:color="auto"/>
              <w:left w:val="single" w:sz="4" w:space="0" w:color="auto"/>
              <w:bottom w:val="single" w:sz="4" w:space="0" w:color="auto"/>
              <w:right w:val="single" w:sz="4" w:space="0" w:color="auto"/>
            </w:tcBorders>
            <w:vAlign w:val="center"/>
          </w:tcPr>
          <w:p w14:paraId="746412F6" w14:textId="77777777" w:rsidR="00D261C5" w:rsidRDefault="00D261C5" w:rsidP="003C739A">
            <w:pPr>
              <w:spacing w:line="276" w:lineRule="auto"/>
              <w:jc w:val="right"/>
              <w:rPr>
                <w:rFonts w:ascii="Calibri" w:hAnsi="Calibri" w:cs="Calibri"/>
                <w:b/>
                <w:lang w:eastAsia="en-US"/>
              </w:rPr>
            </w:pPr>
            <w:r>
              <w:rPr>
                <w:rFonts w:ascii="Calibri" w:hAnsi="Calibri" w:cs="Calibri"/>
                <w:b/>
                <w:lang w:eastAsia="en-US"/>
              </w:rPr>
              <w:t>4 406 476,57 €</w:t>
            </w:r>
          </w:p>
        </w:tc>
      </w:tr>
      <w:tr w:rsidR="00D261C5" w14:paraId="3AA308B6" w14:textId="77777777" w:rsidTr="003C739A">
        <w:trPr>
          <w:trHeight w:val="1003"/>
          <w:jc w:val="center"/>
        </w:trPr>
        <w:tc>
          <w:tcPr>
            <w:tcW w:w="4279" w:type="dxa"/>
            <w:tcBorders>
              <w:top w:val="single" w:sz="4" w:space="0" w:color="auto"/>
              <w:left w:val="single" w:sz="4" w:space="0" w:color="auto"/>
              <w:bottom w:val="single" w:sz="4" w:space="0" w:color="auto"/>
              <w:right w:val="single" w:sz="4" w:space="0" w:color="auto"/>
            </w:tcBorders>
            <w:vAlign w:val="center"/>
          </w:tcPr>
          <w:p w14:paraId="12B3D757" w14:textId="77777777" w:rsidR="00D261C5" w:rsidRDefault="00D261C5" w:rsidP="003C739A">
            <w:pPr>
              <w:spacing w:line="276" w:lineRule="auto"/>
              <w:jc w:val="center"/>
              <w:rPr>
                <w:rFonts w:ascii="Calibri" w:hAnsi="Calibri" w:cs="Calibri"/>
                <w:b/>
                <w:sz w:val="24"/>
                <w:szCs w:val="24"/>
                <w:lang w:eastAsia="en-US"/>
              </w:rPr>
            </w:pPr>
          </w:p>
          <w:p w14:paraId="1858EBCA" w14:textId="77777777" w:rsidR="00D261C5" w:rsidRDefault="00D261C5" w:rsidP="003C739A">
            <w:pPr>
              <w:spacing w:line="276" w:lineRule="auto"/>
              <w:jc w:val="center"/>
              <w:rPr>
                <w:rFonts w:ascii="Calibri" w:hAnsi="Calibri" w:cs="Calibri"/>
                <w:b/>
                <w:sz w:val="24"/>
                <w:szCs w:val="24"/>
                <w:lang w:eastAsia="en-US"/>
              </w:rPr>
            </w:pPr>
            <w:r>
              <w:rPr>
                <w:rFonts w:ascii="Calibri" w:hAnsi="Calibri" w:cs="Calibri"/>
                <w:b/>
                <w:sz w:val="24"/>
                <w:szCs w:val="24"/>
                <w:lang w:eastAsia="en-US"/>
              </w:rPr>
              <w:t xml:space="preserve">Résultat de l’exercice au 31/12 </w:t>
            </w:r>
          </w:p>
          <w:p w14:paraId="265A6D4A" w14:textId="77777777" w:rsidR="00D261C5" w:rsidRDefault="00D261C5" w:rsidP="003C739A">
            <w:pPr>
              <w:spacing w:line="276" w:lineRule="auto"/>
              <w:jc w:val="center"/>
              <w:rPr>
                <w:rFonts w:ascii="Calibri" w:hAnsi="Calibri" w:cs="Calibri"/>
                <w:b/>
                <w:sz w:val="24"/>
                <w:szCs w:val="24"/>
                <w:lang w:eastAsia="en-US"/>
              </w:rPr>
            </w:pPr>
            <w:proofErr w:type="gramStart"/>
            <w:r>
              <w:rPr>
                <w:rFonts w:ascii="Calibri" w:hAnsi="Calibri" w:cs="Calibri"/>
                <w:b/>
                <w:sz w:val="24"/>
                <w:szCs w:val="24"/>
                <w:lang w:eastAsia="en-US"/>
              </w:rPr>
              <w:t>par</w:t>
            </w:r>
            <w:proofErr w:type="gramEnd"/>
            <w:r>
              <w:rPr>
                <w:rFonts w:ascii="Calibri" w:hAnsi="Calibri" w:cs="Calibri"/>
                <w:b/>
                <w:sz w:val="24"/>
                <w:szCs w:val="24"/>
                <w:lang w:eastAsia="en-US"/>
              </w:rPr>
              <w:t xml:space="preserve"> section</w:t>
            </w:r>
          </w:p>
          <w:p w14:paraId="761F7F9B" w14:textId="77777777" w:rsidR="00D261C5" w:rsidRDefault="00D261C5" w:rsidP="003C739A">
            <w:pPr>
              <w:spacing w:line="276" w:lineRule="auto"/>
              <w:jc w:val="center"/>
              <w:rPr>
                <w:rFonts w:ascii="Calibri" w:hAnsi="Calibri" w:cs="Calibri"/>
                <w:b/>
                <w:sz w:val="24"/>
                <w:szCs w:val="24"/>
                <w:lang w:eastAsia="en-US"/>
              </w:rPr>
            </w:pPr>
          </w:p>
        </w:tc>
        <w:tc>
          <w:tcPr>
            <w:tcW w:w="2015" w:type="dxa"/>
            <w:tcBorders>
              <w:top w:val="single" w:sz="4" w:space="0" w:color="auto"/>
              <w:left w:val="single" w:sz="4" w:space="0" w:color="auto"/>
              <w:bottom w:val="single" w:sz="4" w:space="0" w:color="auto"/>
              <w:right w:val="single" w:sz="4" w:space="0" w:color="auto"/>
            </w:tcBorders>
            <w:vAlign w:val="center"/>
          </w:tcPr>
          <w:p w14:paraId="316F4157" w14:textId="77777777" w:rsidR="00D261C5" w:rsidRDefault="00D261C5" w:rsidP="003C739A">
            <w:pPr>
              <w:spacing w:line="276" w:lineRule="auto"/>
              <w:jc w:val="right"/>
              <w:rPr>
                <w:rFonts w:ascii="Calibri" w:hAnsi="Calibri" w:cs="Calibri"/>
                <w:b/>
                <w:lang w:eastAsia="en-US"/>
              </w:rPr>
            </w:pPr>
            <w:r>
              <w:rPr>
                <w:rFonts w:ascii="Calibri" w:hAnsi="Calibri" w:cs="Calibri"/>
                <w:b/>
                <w:lang w:eastAsia="en-US"/>
              </w:rPr>
              <w:t>828 620,51 €</w:t>
            </w:r>
          </w:p>
        </w:tc>
        <w:tc>
          <w:tcPr>
            <w:tcW w:w="2091" w:type="dxa"/>
            <w:tcBorders>
              <w:top w:val="single" w:sz="4" w:space="0" w:color="auto"/>
              <w:left w:val="single" w:sz="4" w:space="0" w:color="auto"/>
              <w:bottom w:val="single" w:sz="4" w:space="0" w:color="auto"/>
              <w:right w:val="single" w:sz="4" w:space="0" w:color="auto"/>
            </w:tcBorders>
            <w:vAlign w:val="center"/>
          </w:tcPr>
          <w:p w14:paraId="142A6CF7" w14:textId="77777777" w:rsidR="00D261C5" w:rsidRDefault="00D261C5" w:rsidP="003C739A">
            <w:pPr>
              <w:pStyle w:val="Paragraphedeliste"/>
              <w:spacing w:line="276" w:lineRule="auto"/>
              <w:ind w:left="488"/>
              <w:jc w:val="right"/>
              <w:rPr>
                <w:rFonts w:ascii="Calibri" w:hAnsi="Calibri" w:cs="Calibri"/>
                <w:b/>
                <w:lang w:eastAsia="en-US"/>
              </w:rPr>
            </w:pPr>
            <w:r>
              <w:rPr>
                <w:rFonts w:ascii="Calibri" w:hAnsi="Calibri" w:cs="Calibri"/>
                <w:b/>
                <w:lang w:eastAsia="en-US"/>
              </w:rPr>
              <w:t>- 821 779,75 €</w:t>
            </w:r>
          </w:p>
        </w:tc>
      </w:tr>
      <w:tr w:rsidR="00D261C5" w14:paraId="76A8A2DE" w14:textId="77777777" w:rsidTr="003C739A">
        <w:trPr>
          <w:jc w:val="center"/>
        </w:trPr>
        <w:tc>
          <w:tcPr>
            <w:tcW w:w="4279" w:type="dxa"/>
            <w:tcBorders>
              <w:top w:val="single" w:sz="4" w:space="0" w:color="auto"/>
              <w:left w:val="single" w:sz="4" w:space="0" w:color="auto"/>
              <w:bottom w:val="single" w:sz="4" w:space="0" w:color="auto"/>
              <w:right w:val="single" w:sz="4" w:space="0" w:color="auto"/>
            </w:tcBorders>
            <w:vAlign w:val="center"/>
            <w:hideMark/>
          </w:tcPr>
          <w:p w14:paraId="1B9204D0" w14:textId="77777777" w:rsidR="00D261C5" w:rsidRDefault="00D261C5" w:rsidP="003C739A">
            <w:pPr>
              <w:spacing w:line="276" w:lineRule="auto"/>
              <w:jc w:val="center"/>
              <w:rPr>
                <w:rFonts w:ascii="Calibri" w:hAnsi="Calibri" w:cs="Calibri"/>
                <w:b/>
                <w:sz w:val="24"/>
                <w:szCs w:val="24"/>
                <w:lang w:eastAsia="en-US"/>
              </w:rPr>
            </w:pPr>
            <w:r>
              <w:rPr>
                <w:rFonts w:ascii="Calibri" w:hAnsi="Calibri" w:cs="Calibri"/>
                <w:b/>
                <w:sz w:val="24"/>
                <w:szCs w:val="24"/>
                <w:lang w:eastAsia="en-US"/>
              </w:rPr>
              <w:t>Résultat antérieur reporté N-1 ou transfert de résultats</w:t>
            </w:r>
          </w:p>
        </w:tc>
        <w:tc>
          <w:tcPr>
            <w:tcW w:w="2015" w:type="dxa"/>
            <w:tcBorders>
              <w:top w:val="single" w:sz="4" w:space="0" w:color="auto"/>
              <w:left w:val="single" w:sz="4" w:space="0" w:color="auto"/>
              <w:bottom w:val="single" w:sz="4" w:space="0" w:color="auto"/>
              <w:right w:val="single" w:sz="4" w:space="0" w:color="auto"/>
            </w:tcBorders>
            <w:vAlign w:val="center"/>
            <w:hideMark/>
          </w:tcPr>
          <w:p w14:paraId="4BCF591B" w14:textId="77777777" w:rsidR="00D261C5" w:rsidRDefault="00D261C5" w:rsidP="003C739A">
            <w:pPr>
              <w:spacing w:line="276" w:lineRule="auto"/>
              <w:jc w:val="right"/>
              <w:rPr>
                <w:rFonts w:ascii="Calibri" w:hAnsi="Calibri" w:cs="Calibri"/>
                <w:b/>
                <w:lang w:eastAsia="en-US"/>
              </w:rPr>
            </w:pPr>
            <w:r>
              <w:rPr>
                <w:rFonts w:ascii="Calibri" w:hAnsi="Calibri" w:cs="Calibri"/>
                <w:b/>
                <w:lang w:eastAsia="en-US"/>
              </w:rPr>
              <w:t>0 €</w:t>
            </w:r>
          </w:p>
        </w:tc>
        <w:tc>
          <w:tcPr>
            <w:tcW w:w="2091" w:type="dxa"/>
            <w:tcBorders>
              <w:top w:val="single" w:sz="4" w:space="0" w:color="auto"/>
              <w:left w:val="single" w:sz="4" w:space="0" w:color="auto"/>
              <w:bottom w:val="single" w:sz="4" w:space="0" w:color="auto"/>
              <w:right w:val="single" w:sz="4" w:space="0" w:color="auto"/>
            </w:tcBorders>
            <w:vAlign w:val="center"/>
            <w:hideMark/>
          </w:tcPr>
          <w:p w14:paraId="6C9A4DD4" w14:textId="77777777" w:rsidR="00D261C5" w:rsidRDefault="00D261C5" w:rsidP="003C739A">
            <w:pPr>
              <w:pStyle w:val="Paragraphedeliste"/>
              <w:spacing w:line="276" w:lineRule="auto"/>
              <w:ind w:left="88"/>
              <w:jc w:val="right"/>
              <w:rPr>
                <w:rFonts w:ascii="Calibri" w:hAnsi="Calibri" w:cs="Calibri"/>
                <w:b/>
                <w:lang w:eastAsia="en-US"/>
              </w:rPr>
            </w:pPr>
            <w:r>
              <w:rPr>
                <w:rFonts w:ascii="Calibri" w:hAnsi="Calibri" w:cs="Calibri"/>
                <w:b/>
                <w:lang w:eastAsia="en-US"/>
              </w:rPr>
              <w:t>994 584,23 €</w:t>
            </w:r>
          </w:p>
        </w:tc>
      </w:tr>
      <w:tr w:rsidR="00D261C5" w14:paraId="6ACA8084" w14:textId="77777777" w:rsidTr="003C739A">
        <w:trPr>
          <w:trHeight w:val="959"/>
          <w:jc w:val="center"/>
        </w:trPr>
        <w:tc>
          <w:tcPr>
            <w:tcW w:w="4279" w:type="dxa"/>
            <w:tcBorders>
              <w:top w:val="single" w:sz="4" w:space="0" w:color="auto"/>
              <w:left w:val="single" w:sz="4" w:space="0" w:color="auto"/>
              <w:bottom w:val="single" w:sz="4" w:space="0" w:color="auto"/>
              <w:right w:val="single" w:sz="4" w:space="0" w:color="auto"/>
            </w:tcBorders>
            <w:vAlign w:val="center"/>
          </w:tcPr>
          <w:p w14:paraId="3E7D0B5F" w14:textId="77777777" w:rsidR="00D261C5" w:rsidRDefault="00D261C5" w:rsidP="003C739A">
            <w:pPr>
              <w:spacing w:line="276" w:lineRule="auto"/>
              <w:jc w:val="center"/>
              <w:rPr>
                <w:rFonts w:ascii="Calibri" w:hAnsi="Calibri" w:cs="Calibri"/>
                <w:b/>
                <w:sz w:val="24"/>
                <w:szCs w:val="24"/>
                <w:lang w:eastAsia="en-US"/>
              </w:rPr>
            </w:pPr>
          </w:p>
          <w:p w14:paraId="5E2A0491" w14:textId="77777777" w:rsidR="00D261C5" w:rsidRDefault="00D261C5" w:rsidP="003C739A">
            <w:pPr>
              <w:spacing w:line="276" w:lineRule="auto"/>
              <w:jc w:val="center"/>
              <w:rPr>
                <w:rFonts w:ascii="Calibri" w:hAnsi="Calibri" w:cs="Calibri"/>
                <w:b/>
                <w:sz w:val="24"/>
                <w:szCs w:val="24"/>
                <w:lang w:eastAsia="en-US"/>
              </w:rPr>
            </w:pPr>
            <w:r>
              <w:rPr>
                <w:rFonts w:ascii="Calibri" w:hAnsi="Calibri" w:cs="Calibri"/>
                <w:b/>
                <w:sz w:val="24"/>
                <w:szCs w:val="24"/>
                <w:lang w:eastAsia="en-US"/>
              </w:rPr>
              <w:t xml:space="preserve">Résultat final par section au 31/12 </w:t>
            </w:r>
          </w:p>
          <w:p w14:paraId="0CFE0C57" w14:textId="77777777" w:rsidR="00D261C5" w:rsidRDefault="00D261C5" w:rsidP="003C739A">
            <w:pPr>
              <w:spacing w:line="276" w:lineRule="auto"/>
              <w:jc w:val="center"/>
              <w:rPr>
                <w:rFonts w:ascii="Calibri" w:hAnsi="Calibri" w:cs="Calibri"/>
                <w:b/>
                <w:sz w:val="24"/>
                <w:szCs w:val="24"/>
                <w:lang w:eastAsia="en-US"/>
              </w:rPr>
            </w:pPr>
          </w:p>
        </w:tc>
        <w:tc>
          <w:tcPr>
            <w:tcW w:w="2015" w:type="dxa"/>
            <w:tcBorders>
              <w:top w:val="single" w:sz="4" w:space="0" w:color="auto"/>
              <w:left w:val="single" w:sz="4" w:space="0" w:color="auto"/>
              <w:bottom w:val="single" w:sz="4" w:space="0" w:color="auto"/>
              <w:right w:val="single" w:sz="4" w:space="0" w:color="auto"/>
            </w:tcBorders>
            <w:vAlign w:val="center"/>
            <w:hideMark/>
          </w:tcPr>
          <w:p w14:paraId="092C1B08" w14:textId="77777777" w:rsidR="00D261C5" w:rsidRDefault="00D261C5" w:rsidP="003C739A">
            <w:pPr>
              <w:spacing w:line="276" w:lineRule="auto"/>
              <w:ind w:left="360"/>
              <w:jc w:val="right"/>
              <w:rPr>
                <w:rFonts w:ascii="Calibri" w:hAnsi="Calibri" w:cs="Calibri"/>
                <w:b/>
                <w:lang w:eastAsia="en-US"/>
              </w:rPr>
            </w:pPr>
            <w:r>
              <w:rPr>
                <w:rFonts w:ascii="Calibri" w:hAnsi="Calibri" w:cs="Calibri"/>
                <w:b/>
                <w:lang w:eastAsia="en-US"/>
              </w:rPr>
              <w:t>828 620,51 €</w:t>
            </w:r>
          </w:p>
        </w:tc>
        <w:tc>
          <w:tcPr>
            <w:tcW w:w="2091" w:type="dxa"/>
            <w:tcBorders>
              <w:top w:val="single" w:sz="4" w:space="0" w:color="auto"/>
              <w:left w:val="single" w:sz="4" w:space="0" w:color="auto"/>
              <w:bottom w:val="single" w:sz="4" w:space="0" w:color="auto"/>
              <w:right w:val="single" w:sz="4" w:space="0" w:color="auto"/>
            </w:tcBorders>
            <w:vAlign w:val="center"/>
            <w:hideMark/>
          </w:tcPr>
          <w:p w14:paraId="7C15C8EF" w14:textId="77777777" w:rsidR="00D261C5" w:rsidRDefault="00D261C5" w:rsidP="003C739A">
            <w:pPr>
              <w:pStyle w:val="Paragraphedeliste"/>
              <w:spacing w:line="276" w:lineRule="auto"/>
              <w:jc w:val="center"/>
              <w:rPr>
                <w:rFonts w:ascii="Calibri" w:hAnsi="Calibri" w:cs="Calibri"/>
                <w:b/>
                <w:highlight w:val="yellow"/>
                <w:lang w:eastAsia="en-US"/>
              </w:rPr>
            </w:pPr>
            <w:r>
              <w:rPr>
                <w:rFonts w:ascii="Calibri" w:hAnsi="Calibri" w:cs="Calibri"/>
                <w:b/>
                <w:lang w:eastAsia="en-US"/>
              </w:rPr>
              <w:t>172 804,48 €</w:t>
            </w:r>
          </w:p>
        </w:tc>
      </w:tr>
      <w:tr w:rsidR="00D261C5" w14:paraId="678CAED9" w14:textId="77777777" w:rsidTr="003C739A">
        <w:trPr>
          <w:trHeight w:val="959"/>
          <w:jc w:val="center"/>
        </w:trPr>
        <w:tc>
          <w:tcPr>
            <w:tcW w:w="4279" w:type="dxa"/>
            <w:tcBorders>
              <w:top w:val="single" w:sz="4" w:space="0" w:color="auto"/>
              <w:left w:val="single" w:sz="4" w:space="0" w:color="auto"/>
              <w:bottom w:val="single" w:sz="4" w:space="0" w:color="auto"/>
              <w:right w:val="single" w:sz="4" w:space="0" w:color="auto"/>
            </w:tcBorders>
            <w:vAlign w:val="center"/>
            <w:hideMark/>
          </w:tcPr>
          <w:p w14:paraId="75B1465B" w14:textId="77777777" w:rsidR="00D261C5" w:rsidRDefault="00D261C5" w:rsidP="003C739A">
            <w:pPr>
              <w:spacing w:line="276" w:lineRule="auto"/>
              <w:jc w:val="center"/>
              <w:rPr>
                <w:rFonts w:ascii="Calibri" w:hAnsi="Calibri" w:cs="Calibri"/>
                <w:b/>
                <w:sz w:val="24"/>
                <w:szCs w:val="24"/>
                <w:lang w:eastAsia="en-US"/>
              </w:rPr>
            </w:pPr>
            <w:r>
              <w:rPr>
                <w:rFonts w:ascii="Calibri" w:hAnsi="Calibri" w:cs="Calibri"/>
                <w:b/>
                <w:sz w:val="24"/>
                <w:szCs w:val="24"/>
                <w:lang w:eastAsia="en-US"/>
              </w:rPr>
              <w:lastRenderedPageBreak/>
              <w:t xml:space="preserve">Résultat de clôture </w:t>
            </w:r>
          </w:p>
        </w:tc>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CE4FB62" w14:textId="77777777" w:rsidR="00D261C5" w:rsidRDefault="00D261C5" w:rsidP="003C739A">
            <w:pPr>
              <w:spacing w:line="276" w:lineRule="auto"/>
              <w:jc w:val="center"/>
              <w:rPr>
                <w:rFonts w:ascii="Calibri" w:hAnsi="Calibri" w:cs="Calibri"/>
                <w:b/>
                <w:lang w:eastAsia="en-US"/>
              </w:rPr>
            </w:pPr>
            <w:r>
              <w:rPr>
                <w:rFonts w:ascii="Calibri" w:hAnsi="Calibri" w:cs="Calibri"/>
                <w:b/>
                <w:lang w:eastAsia="en-US"/>
              </w:rPr>
              <w:t>1 001 424,99 €</w:t>
            </w:r>
          </w:p>
        </w:tc>
      </w:tr>
    </w:tbl>
    <w:p w14:paraId="10B50FEF" w14:textId="3B393D1E" w:rsidR="007271FA" w:rsidRDefault="007271FA" w:rsidP="003922FF">
      <w:pPr>
        <w:jc w:val="both"/>
        <w:rPr>
          <w:rFonts w:ascii="Calibri" w:hAnsi="Calibri" w:cs="Calibri"/>
          <w:sz w:val="24"/>
          <w:szCs w:val="24"/>
        </w:rPr>
      </w:pPr>
    </w:p>
    <w:p w14:paraId="2A8B1609" w14:textId="5493719D" w:rsidR="00CE1B67" w:rsidRDefault="00E05516" w:rsidP="003922FF">
      <w:pPr>
        <w:jc w:val="both"/>
        <w:rPr>
          <w:rFonts w:ascii="Calibri" w:hAnsi="Calibri" w:cs="Calibri"/>
          <w:sz w:val="24"/>
          <w:szCs w:val="24"/>
        </w:rPr>
      </w:pPr>
      <w:r>
        <w:rPr>
          <w:rFonts w:ascii="Calibri" w:hAnsi="Calibri" w:cs="Calibri"/>
          <w:sz w:val="24"/>
          <w:szCs w:val="24"/>
        </w:rPr>
        <w:t xml:space="preserve">Les </w:t>
      </w:r>
      <w:r w:rsidR="005A3C44">
        <w:rPr>
          <w:rFonts w:ascii="Calibri" w:hAnsi="Calibri" w:cs="Calibri"/>
          <w:sz w:val="24"/>
          <w:szCs w:val="24"/>
        </w:rPr>
        <w:t xml:space="preserve">résultats </w:t>
      </w:r>
      <w:r w:rsidR="00CE1B67">
        <w:rPr>
          <w:rFonts w:ascii="Calibri" w:hAnsi="Calibri" w:cs="Calibri"/>
          <w:sz w:val="24"/>
          <w:szCs w:val="24"/>
        </w:rPr>
        <w:t xml:space="preserve">constatés dans le compte financier unique </w:t>
      </w:r>
      <w:r w:rsidR="005A3C44">
        <w:rPr>
          <w:rFonts w:ascii="Calibri" w:hAnsi="Calibri" w:cs="Calibri"/>
          <w:sz w:val="24"/>
          <w:szCs w:val="24"/>
        </w:rPr>
        <w:t>sont le</w:t>
      </w:r>
      <w:r>
        <w:rPr>
          <w:rFonts w:ascii="Calibri" w:hAnsi="Calibri" w:cs="Calibri"/>
          <w:sz w:val="24"/>
          <w:szCs w:val="24"/>
        </w:rPr>
        <w:t>s</w:t>
      </w:r>
      <w:bookmarkStart w:id="0" w:name="_GoBack"/>
      <w:bookmarkEnd w:id="0"/>
      <w:r w:rsidR="005A3C44">
        <w:rPr>
          <w:rFonts w:ascii="Calibri" w:hAnsi="Calibri" w:cs="Calibri"/>
          <w:sz w:val="24"/>
          <w:szCs w:val="24"/>
        </w:rPr>
        <w:t xml:space="preserve"> mêmes que ceux présentés le 24 février lors de la reprise anticipée. </w:t>
      </w:r>
    </w:p>
    <w:p w14:paraId="68152870" w14:textId="276E6C58" w:rsidR="00CE1B67" w:rsidRDefault="00CE1B67" w:rsidP="003922FF">
      <w:pPr>
        <w:jc w:val="both"/>
        <w:rPr>
          <w:rFonts w:ascii="Calibri" w:hAnsi="Calibri" w:cs="Calibri"/>
          <w:sz w:val="24"/>
          <w:szCs w:val="24"/>
        </w:rPr>
      </w:pPr>
      <w:r>
        <w:rPr>
          <w:rFonts w:ascii="Calibri" w:hAnsi="Calibri" w:cs="Calibri"/>
          <w:sz w:val="24"/>
          <w:szCs w:val="24"/>
        </w:rPr>
        <w:t xml:space="preserve">Les 828 620,51 € d’excédent d’exploitation ont été inscrits au compte 1068 (recettes d’investissement – réserves) lors de l’approbation du budget primitif 2026, il n’est donc pas nécessaire de procéder à une décision modificative pour ajuster ce montant. </w:t>
      </w:r>
    </w:p>
    <w:p w14:paraId="5CBF8B71" w14:textId="6B1FBFDE" w:rsidR="003922FF" w:rsidRDefault="003922FF" w:rsidP="003922FF">
      <w:pPr>
        <w:jc w:val="both"/>
        <w:rPr>
          <w:rFonts w:ascii="Calibri" w:hAnsi="Calibri" w:cs="Calibri"/>
          <w:sz w:val="24"/>
        </w:rPr>
      </w:pPr>
    </w:p>
    <w:p w14:paraId="3B554C9C" w14:textId="77777777" w:rsidR="003922FF" w:rsidRDefault="003922FF" w:rsidP="003922FF">
      <w:pPr>
        <w:jc w:val="both"/>
        <w:rPr>
          <w:rFonts w:ascii="Calibri" w:hAnsi="Calibri" w:cs="Calibri"/>
          <w:sz w:val="24"/>
          <w:szCs w:val="24"/>
        </w:rPr>
      </w:pPr>
    </w:p>
    <w:p w14:paraId="1C4D6201" w14:textId="0E44C356" w:rsidR="003922FF" w:rsidRDefault="003922FF" w:rsidP="003922FF">
      <w:pPr>
        <w:jc w:val="both"/>
        <w:rPr>
          <w:rFonts w:ascii="Calibri" w:hAnsi="Calibri" w:cs="Calibri"/>
          <w:sz w:val="24"/>
          <w:szCs w:val="24"/>
        </w:rPr>
      </w:pPr>
      <w:r>
        <w:rPr>
          <w:rFonts w:ascii="Calibri" w:hAnsi="Calibri" w:cs="Calibri"/>
          <w:sz w:val="24"/>
          <w:szCs w:val="24"/>
        </w:rPr>
        <w:t xml:space="preserve">Le compte </w:t>
      </w:r>
      <w:r w:rsidR="007A5EC4">
        <w:rPr>
          <w:rFonts w:ascii="Calibri" w:hAnsi="Calibri" w:cs="Calibri"/>
          <w:sz w:val="24"/>
          <w:szCs w:val="24"/>
        </w:rPr>
        <w:t>financier unique 2025</w:t>
      </w:r>
      <w:r>
        <w:rPr>
          <w:rFonts w:ascii="Calibri" w:hAnsi="Calibri" w:cs="Calibri"/>
          <w:sz w:val="24"/>
          <w:szCs w:val="24"/>
        </w:rPr>
        <w:t xml:space="preserve"> sera annexé à la présente délibération.</w:t>
      </w:r>
    </w:p>
    <w:p w14:paraId="5FB57FD3" w14:textId="77777777" w:rsidR="003922FF" w:rsidRDefault="003922FF" w:rsidP="003922FF">
      <w:pPr>
        <w:rPr>
          <w:rFonts w:ascii="Calibri" w:hAnsi="Calibri" w:cs="Calibri"/>
          <w:sz w:val="24"/>
          <w:szCs w:val="24"/>
        </w:rPr>
      </w:pPr>
    </w:p>
    <w:p w14:paraId="50F5BC16" w14:textId="083D26A8" w:rsidR="003922FF" w:rsidRDefault="003922FF" w:rsidP="003922FF">
      <w:pPr>
        <w:jc w:val="both"/>
      </w:pPr>
      <w:r>
        <w:rPr>
          <w:rFonts w:ascii="Calibri" w:hAnsi="Calibri" w:cs="Calibri"/>
          <w:sz w:val="24"/>
          <w:szCs w:val="24"/>
        </w:rPr>
        <w:t xml:space="preserve">En application des textes en vigueur, il est précisé que </w:t>
      </w:r>
      <w:r w:rsidR="005A3C44">
        <w:rPr>
          <w:rFonts w:ascii="Calibri" w:hAnsi="Calibri" w:cs="Calibri"/>
          <w:sz w:val="24"/>
          <w:szCs w:val="24"/>
        </w:rPr>
        <w:t>Monsieur</w:t>
      </w:r>
      <w:r>
        <w:rPr>
          <w:rFonts w:ascii="Calibri" w:hAnsi="Calibri" w:cs="Calibri"/>
          <w:sz w:val="24"/>
          <w:szCs w:val="24"/>
        </w:rPr>
        <w:t xml:space="preserve"> le Maire a ass</w:t>
      </w:r>
      <w:r w:rsidR="005A3C44">
        <w:rPr>
          <w:rFonts w:ascii="Calibri" w:hAnsi="Calibri" w:cs="Calibri"/>
          <w:sz w:val="24"/>
          <w:szCs w:val="24"/>
        </w:rPr>
        <w:t>isté au débat puis s’est retiré</w:t>
      </w:r>
      <w:r>
        <w:rPr>
          <w:rFonts w:ascii="Calibri" w:hAnsi="Calibri" w:cs="Calibri"/>
          <w:sz w:val="24"/>
          <w:szCs w:val="24"/>
        </w:rPr>
        <w:t xml:space="preserve"> de la salle au moment du vote de ce document budgétaire et ce, conformément à l’article L.2121-14 du CGCT.</w:t>
      </w:r>
    </w:p>
    <w:p w14:paraId="0D4DCE79" w14:textId="77777777" w:rsidR="00C409FA" w:rsidRPr="00C409FA" w:rsidRDefault="00C409FA" w:rsidP="00C409FA">
      <w:pPr>
        <w:ind w:left="708" w:right="142"/>
        <w:rPr>
          <w:rFonts w:asciiTheme="minorHAnsi" w:hAnsiTheme="minorHAnsi" w:cstheme="minorHAnsi"/>
          <w:sz w:val="14"/>
          <w:szCs w:val="14"/>
        </w:rPr>
      </w:pPr>
    </w:p>
    <w:p w14:paraId="7CF6ADFA" w14:textId="77777777" w:rsidR="00C409FA" w:rsidRPr="00C409FA" w:rsidRDefault="00C409FA" w:rsidP="00C409FA">
      <w:pPr>
        <w:ind w:left="708" w:right="142"/>
        <w:rPr>
          <w:rFonts w:asciiTheme="minorHAnsi" w:hAnsiTheme="minorHAnsi" w:cstheme="minorHAnsi"/>
          <w:sz w:val="14"/>
          <w:szCs w:val="14"/>
        </w:rPr>
      </w:pPr>
    </w:p>
    <w:p w14:paraId="1E7D4E9A" w14:textId="77777777" w:rsidR="00C409FA" w:rsidRPr="00C409FA" w:rsidRDefault="00C409FA" w:rsidP="00C409FA">
      <w:pPr>
        <w:ind w:left="708" w:right="142"/>
        <w:rPr>
          <w:rFonts w:asciiTheme="minorHAnsi" w:hAnsiTheme="minorHAnsi" w:cstheme="minorHAnsi"/>
          <w:sz w:val="14"/>
          <w:szCs w:val="14"/>
        </w:rPr>
      </w:pPr>
    </w:p>
    <w:p w14:paraId="4D60AC6D" w14:textId="77777777" w:rsidR="00AD6376" w:rsidRPr="00583693" w:rsidRDefault="00AD6376" w:rsidP="00AD6376">
      <w:pPr>
        <w:tabs>
          <w:tab w:val="left" w:pos="284"/>
        </w:tabs>
        <w:ind w:right="142"/>
        <w:rPr>
          <w:rFonts w:ascii="Calibri" w:hAnsi="Calibri" w:cs="Calibri"/>
          <w:snapToGrid w:val="0"/>
          <w:sz w:val="24"/>
          <w:szCs w:val="24"/>
        </w:rPr>
      </w:pPr>
      <w:r w:rsidRPr="00583693">
        <w:rPr>
          <w:rFonts w:ascii="Calibri" w:hAnsi="Calibri" w:cs="Calibri"/>
          <w:snapToGrid w:val="0"/>
          <w:sz w:val="24"/>
          <w:szCs w:val="24"/>
        </w:rPr>
        <w:t>Adoption :</w:t>
      </w:r>
    </w:p>
    <w:p w14:paraId="10C3B64E" w14:textId="77777777" w:rsidR="00AD6376" w:rsidRPr="00583693" w:rsidRDefault="00AD6376" w:rsidP="00AD6376">
      <w:pPr>
        <w:numPr>
          <w:ilvl w:val="0"/>
          <w:numId w:val="9"/>
        </w:numPr>
        <w:tabs>
          <w:tab w:val="left" w:pos="284"/>
        </w:tabs>
        <w:ind w:right="142"/>
        <w:contextualSpacing/>
        <w:rPr>
          <w:rFonts w:ascii="Calibri" w:hAnsi="Calibri" w:cs="Calibri"/>
          <w:snapToGrid w:val="0"/>
          <w:sz w:val="24"/>
          <w:szCs w:val="24"/>
        </w:rPr>
      </w:pPr>
      <w:proofErr w:type="gramStart"/>
      <w:r w:rsidRPr="00583693">
        <w:rPr>
          <w:rFonts w:ascii="Calibri" w:hAnsi="Calibri" w:cs="Calibri"/>
          <w:snapToGrid w:val="0"/>
          <w:sz w:val="24"/>
          <w:szCs w:val="24"/>
        </w:rPr>
        <w:t>à</w:t>
      </w:r>
      <w:proofErr w:type="gramEnd"/>
      <w:r w:rsidRPr="00583693">
        <w:rPr>
          <w:rFonts w:ascii="Calibri" w:hAnsi="Calibri" w:cs="Calibri"/>
          <w:snapToGrid w:val="0"/>
          <w:sz w:val="24"/>
          <w:szCs w:val="24"/>
        </w:rPr>
        <w:t xml:space="preserve"> l’unanimité,</w:t>
      </w:r>
    </w:p>
    <w:p w14:paraId="3F35869C" w14:textId="77777777" w:rsidR="00AD6376" w:rsidRPr="00583693" w:rsidRDefault="00AD6376" w:rsidP="00AD6376">
      <w:pPr>
        <w:numPr>
          <w:ilvl w:val="0"/>
          <w:numId w:val="9"/>
        </w:numPr>
        <w:tabs>
          <w:tab w:val="left" w:pos="284"/>
        </w:tabs>
        <w:ind w:right="142"/>
        <w:contextualSpacing/>
        <w:rPr>
          <w:rFonts w:ascii="Calibri" w:hAnsi="Calibri" w:cs="Calibri"/>
          <w:snapToGrid w:val="0"/>
          <w:sz w:val="24"/>
          <w:szCs w:val="24"/>
        </w:rPr>
      </w:pPr>
      <w:proofErr w:type="gramStart"/>
      <w:r w:rsidRPr="00583693">
        <w:rPr>
          <w:rFonts w:ascii="Calibri" w:hAnsi="Calibri" w:cs="Calibri"/>
          <w:snapToGrid w:val="0"/>
          <w:sz w:val="24"/>
          <w:szCs w:val="24"/>
        </w:rPr>
        <w:t>par</w:t>
      </w:r>
      <w:proofErr w:type="gramEnd"/>
      <w:r w:rsidRPr="00583693">
        <w:rPr>
          <w:rFonts w:ascii="Calibri" w:hAnsi="Calibri" w:cs="Calibri"/>
          <w:snapToGrid w:val="0"/>
          <w:sz w:val="24"/>
          <w:szCs w:val="24"/>
        </w:rPr>
        <w:t xml:space="preserve"> ….. </w:t>
      </w:r>
      <w:proofErr w:type="gramStart"/>
      <w:r w:rsidRPr="00583693">
        <w:rPr>
          <w:rFonts w:ascii="Calibri" w:hAnsi="Calibri" w:cs="Calibri"/>
          <w:snapToGrid w:val="0"/>
          <w:sz w:val="24"/>
          <w:szCs w:val="24"/>
        </w:rPr>
        <w:t>voix</w:t>
      </w:r>
      <w:proofErr w:type="gramEnd"/>
      <w:r w:rsidRPr="00583693">
        <w:rPr>
          <w:rFonts w:ascii="Calibri" w:hAnsi="Calibri" w:cs="Calibri"/>
          <w:snapToGrid w:val="0"/>
          <w:sz w:val="24"/>
          <w:szCs w:val="24"/>
        </w:rPr>
        <w:t xml:space="preserve"> pour,</w:t>
      </w:r>
    </w:p>
    <w:p w14:paraId="0379D1F6" w14:textId="77777777" w:rsidR="00AD6376" w:rsidRPr="00583693" w:rsidRDefault="00AD6376" w:rsidP="00AD6376">
      <w:pPr>
        <w:numPr>
          <w:ilvl w:val="0"/>
          <w:numId w:val="9"/>
        </w:numPr>
        <w:tabs>
          <w:tab w:val="left" w:pos="284"/>
        </w:tabs>
        <w:ind w:right="142"/>
        <w:contextualSpacing/>
        <w:rPr>
          <w:rFonts w:ascii="Calibri" w:hAnsi="Calibri" w:cs="Calibri"/>
          <w:snapToGrid w:val="0"/>
          <w:sz w:val="24"/>
          <w:szCs w:val="24"/>
        </w:rPr>
      </w:pPr>
      <w:proofErr w:type="gramStart"/>
      <w:r w:rsidRPr="00583693">
        <w:rPr>
          <w:rFonts w:ascii="Calibri" w:hAnsi="Calibri" w:cs="Calibri"/>
          <w:snapToGrid w:val="0"/>
          <w:sz w:val="24"/>
          <w:szCs w:val="24"/>
        </w:rPr>
        <w:t>par</w:t>
      </w:r>
      <w:proofErr w:type="gramEnd"/>
      <w:r w:rsidRPr="00583693">
        <w:rPr>
          <w:rFonts w:ascii="Calibri" w:hAnsi="Calibri" w:cs="Calibri"/>
          <w:snapToGrid w:val="0"/>
          <w:sz w:val="24"/>
          <w:szCs w:val="24"/>
        </w:rPr>
        <w:t xml:space="preserve"> ….. </w:t>
      </w:r>
      <w:proofErr w:type="gramStart"/>
      <w:r w:rsidRPr="00583693">
        <w:rPr>
          <w:rFonts w:ascii="Calibri" w:hAnsi="Calibri" w:cs="Calibri"/>
          <w:snapToGrid w:val="0"/>
          <w:sz w:val="24"/>
          <w:szCs w:val="24"/>
        </w:rPr>
        <w:t>voix</w:t>
      </w:r>
      <w:proofErr w:type="gramEnd"/>
      <w:r w:rsidRPr="00583693">
        <w:rPr>
          <w:rFonts w:ascii="Calibri" w:hAnsi="Calibri" w:cs="Calibri"/>
          <w:snapToGrid w:val="0"/>
          <w:sz w:val="24"/>
          <w:szCs w:val="24"/>
        </w:rPr>
        <w:t xml:space="preserve"> contre (noms  …)</w:t>
      </w:r>
    </w:p>
    <w:p w14:paraId="73788230" w14:textId="77777777" w:rsidR="00AD6376" w:rsidRPr="009E05DF" w:rsidRDefault="00AD6376" w:rsidP="00AD6376">
      <w:pPr>
        <w:numPr>
          <w:ilvl w:val="0"/>
          <w:numId w:val="9"/>
        </w:numPr>
        <w:tabs>
          <w:tab w:val="left" w:pos="284"/>
        </w:tabs>
        <w:ind w:left="708" w:right="142"/>
        <w:contextualSpacing/>
        <w:rPr>
          <w:rFonts w:asciiTheme="minorHAnsi" w:hAnsiTheme="minorHAnsi" w:cstheme="minorHAnsi"/>
          <w:sz w:val="14"/>
          <w:szCs w:val="14"/>
        </w:rPr>
      </w:pPr>
      <w:proofErr w:type="gramStart"/>
      <w:r w:rsidRPr="009E05DF">
        <w:rPr>
          <w:rFonts w:ascii="Calibri" w:hAnsi="Calibri" w:cs="Calibri"/>
          <w:snapToGrid w:val="0"/>
          <w:sz w:val="24"/>
          <w:szCs w:val="24"/>
        </w:rPr>
        <w:t>par</w:t>
      </w:r>
      <w:proofErr w:type="gramEnd"/>
      <w:r w:rsidRPr="009E05DF">
        <w:rPr>
          <w:rFonts w:ascii="Calibri" w:hAnsi="Calibri" w:cs="Calibri"/>
          <w:snapToGrid w:val="0"/>
          <w:sz w:val="24"/>
          <w:szCs w:val="24"/>
        </w:rPr>
        <w:t xml:space="preserve"> ….. </w:t>
      </w:r>
      <w:proofErr w:type="gramStart"/>
      <w:r w:rsidRPr="009E05DF">
        <w:rPr>
          <w:rFonts w:ascii="Calibri" w:hAnsi="Calibri" w:cs="Calibri"/>
          <w:snapToGrid w:val="0"/>
          <w:sz w:val="24"/>
          <w:szCs w:val="24"/>
        </w:rPr>
        <w:t>abstention</w:t>
      </w:r>
      <w:proofErr w:type="gramEnd"/>
      <w:r w:rsidRPr="009E05DF">
        <w:rPr>
          <w:rFonts w:ascii="Calibri" w:hAnsi="Calibri" w:cs="Calibri"/>
          <w:snapToGrid w:val="0"/>
          <w:sz w:val="24"/>
          <w:szCs w:val="24"/>
        </w:rPr>
        <w:t>(s) (……………….)</w:t>
      </w:r>
    </w:p>
    <w:p w14:paraId="712751A3" w14:textId="77777777" w:rsidR="00AD6376" w:rsidRPr="006F4999" w:rsidRDefault="00AD6376" w:rsidP="00AD6376">
      <w:pPr>
        <w:ind w:left="708" w:right="142"/>
        <w:rPr>
          <w:rFonts w:asciiTheme="minorHAnsi" w:hAnsiTheme="minorHAnsi" w:cstheme="minorHAnsi"/>
          <w:sz w:val="14"/>
          <w:szCs w:val="14"/>
        </w:rPr>
      </w:pPr>
    </w:p>
    <w:p w14:paraId="536C87DD" w14:textId="77777777" w:rsidR="00C409FA" w:rsidRPr="00C409FA" w:rsidRDefault="00C409FA" w:rsidP="00C409FA">
      <w:pPr>
        <w:ind w:left="708" w:right="142"/>
        <w:rPr>
          <w:rFonts w:asciiTheme="minorHAnsi" w:hAnsiTheme="minorHAnsi" w:cstheme="minorHAnsi"/>
          <w:sz w:val="14"/>
          <w:szCs w:val="14"/>
        </w:rPr>
      </w:pPr>
    </w:p>
    <w:p w14:paraId="05A511AA" w14:textId="77777777" w:rsidR="00C409FA" w:rsidRPr="00C409FA" w:rsidRDefault="00C409FA" w:rsidP="00C409FA">
      <w:pPr>
        <w:ind w:left="708" w:right="142"/>
        <w:rPr>
          <w:rFonts w:asciiTheme="minorHAnsi" w:hAnsiTheme="minorHAnsi" w:cstheme="minorHAnsi"/>
          <w:sz w:val="14"/>
          <w:szCs w:val="14"/>
        </w:rPr>
      </w:pPr>
    </w:p>
    <w:p w14:paraId="30D6D435" w14:textId="77777777" w:rsidR="00D16EEC" w:rsidRPr="006F4999" w:rsidRDefault="00D16EEC" w:rsidP="00D16EEC">
      <w:pPr>
        <w:ind w:left="708" w:right="142"/>
        <w:rPr>
          <w:rFonts w:asciiTheme="minorHAnsi" w:hAnsiTheme="minorHAnsi" w:cstheme="minorHAnsi"/>
          <w:sz w:val="14"/>
          <w:szCs w:val="14"/>
        </w:rPr>
      </w:pPr>
    </w:p>
    <w:sectPr w:rsidR="00D16EEC" w:rsidRPr="006F4999" w:rsidSect="00782AA0">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2FD81" w14:textId="77777777" w:rsidR="001017E6" w:rsidRDefault="001017E6" w:rsidP="006E22D3">
      <w:r>
        <w:separator/>
      </w:r>
    </w:p>
  </w:endnote>
  <w:endnote w:type="continuationSeparator" w:id="0">
    <w:p w14:paraId="7304FFAB" w14:textId="77777777" w:rsidR="001017E6" w:rsidRDefault="001017E6" w:rsidP="006E2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AEE76C" w14:textId="77777777" w:rsidR="001017E6" w:rsidRDefault="001017E6" w:rsidP="006E22D3">
      <w:r>
        <w:separator/>
      </w:r>
    </w:p>
  </w:footnote>
  <w:footnote w:type="continuationSeparator" w:id="0">
    <w:p w14:paraId="097557C7" w14:textId="77777777" w:rsidR="001017E6" w:rsidRDefault="001017E6" w:rsidP="006E2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3C6CC" w14:textId="77777777" w:rsidR="00782AA0" w:rsidRPr="00DD3760" w:rsidRDefault="00782AA0" w:rsidP="00367400">
    <w:pPr>
      <w:pStyle w:val="En-tte"/>
      <w:rPr>
        <w:rFonts w:asciiTheme="minorHAnsi" w:hAnsiTheme="minorHAnsi" w:cstheme="minorHAnsi"/>
        <w:b/>
        <w:sz w:val="26"/>
        <w:szCs w:val="26"/>
      </w:rPr>
    </w:pPr>
    <w:r w:rsidRPr="00DD3760">
      <w:rPr>
        <w:rFonts w:asciiTheme="minorHAnsi" w:hAnsiTheme="minorHAnsi" w:cstheme="minorHAnsi"/>
        <w:b/>
        <w:sz w:val="26"/>
        <w:szCs w:val="26"/>
      </w:rPr>
      <w:t>Commune de Saint-Nazaire-les-Eymes</w:t>
    </w:r>
  </w:p>
  <w:p w14:paraId="369E48DE" w14:textId="77777777" w:rsidR="00782AA0" w:rsidRPr="00367400" w:rsidRDefault="00367400" w:rsidP="00367400">
    <w:pPr>
      <w:pStyle w:val="En-tte"/>
      <w:rPr>
        <w:rFonts w:asciiTheme="minorHAnsi" w:hAnsiTheme="minorHAnsi" w:cstheme="minorHAnsi"/>
        <w:sz w:val="22"/>
        <w:szCs w:val="22"/>
      </w:rPr>
    </w:pPr>
    <w:r>
      <w:rPr>
        <w:rFonts w:asciiTheme="minorHAnsi" w:hAnsiTheme="minorHAnsi" w:cstheme="minorHAnsi"/>
        <w:sz w:val="22"/>
        <w:szCs w:val="22"/>
      </w:rPr>
      <w:t xml:space="preserve">                     </w:t>
    </w:r>
    <w:r w:rsidR="00782AA0" w:rsidRPr="00367400">
      <w:rPr>
        <w:rFonts w:asciiTheme="minorHAnsi" w:hAnsiTheme="minorHAnsi" w:cstheme="minorHAnsi"/>
        <w:sz w:val="22"/>
        <w:szCs w:val="22"/>
      </w:rPr>
      <w:t>Département de l’Isère</w:t>
    </w:r>
  </w:p>
  <w:p w14:paraId="715E2E6F" w14:textId="77777777" w:rsidR="00782AA0" w:rsidRDefault="00782AA0" w:rsidP="0036740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93A9C"/>
    <w:multiLevelType w:val="hybridMultilevel"/>
    <w:tmpl w:val="66484706"/>
    <w:lvl w:ilvl="0" w:tplc="AFAAA05E">
      <w:start w:val="89"/>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14315"/>
    <w:multiLevelType w:val="hybridMultilevel"/>
    <w:tmpl w:val="9C9CB8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8C913AC"/>
    <w:multiLevelType w:val="hybridMultilevel"/>
    <w:tmpl w:val="93F6AE2A"/>
    <w:lvl w:ilvl="0" w:tplc="6446314C">
      <w:numFmt w:val="bullet"/>
      <w:lvlText w:val=""/>
      <w:lvlJc w:val="left"/>
      <w:pPr>
        <w:ind w:left="1080" w:hanging="360"/>
      </w:pPr>
      <w:rPr>
        <w:rFonts w:ascii="Symbol" w:eastAsia="Times New Roman"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18F825C8"/>
    <w:multiLevelType w:val="hybridMultilevel"/>
    <w:tmpl w:val="2B8C19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5FE42F2"/>
    <w:multiLevelType w:val="hybridMultilevel"/>
    <w:tmpl w:val="871A71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70621B8"/>
    <w:multiLevelType w:val="hybridMultilevel"/>
    <w:tmpl w:val="A16664E0"/>
    <w:lvl w:ilvl="0" w:tplc="AD7AC8A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B932964"/>
    <w:multiLevelType w:val="hybridMultilevel"/>
    <w:tmpl w:val="8E2EE3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8622510"/>
    <w:multiLevelType w:val="multilevel"/>
    <w:tmpl w:val="9B48BB52"/>
    <w:lvl w:ilvl="0">
      <w:start w:val="1"/>
      <w:numFmt w:val="none"/>
      <w:lvlText w:val="Vu"/>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6050897"/>
    <w:multiLevelType w:val="hybridMultilevel"/>
    <w:tmpl w:val="8C32D826"/>
    <w:lvl w:ilvl="0" w:tplc="B7FE336E">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0"/>
  </w:num>
  <w:num w:numId="4">
    <w:abstractNumId w:val="4"/>
  </w:num>
  <w:num w:numId="5">
    <w:abstractNumId w:val="6"/>
  </w:num>
  <w:num w:numId="6">
    <w:abstractNumId w:val="5"/>
  </w:num>
  <w:num w:numId="7">
    <w:abstractNumId w:val="5"/>
  </w:num>
  <w:num w:numId="8">
    <w:abstractNumId w:val="2"/>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8E9"/>
    <w:rsid w:val="00082974"/>
    <w:rsid w:val="000C4236"/>
    <w:rsid w:val="000D5715"/>
    <w:rsid w:val="000E5B69"/>
    <w:rsid w:val="000E6C2F"/>
    <w:rsid w:val="000F19E0"/>
    <w:rsid w:val="000F22F4"/>
    <w:rsid w:val="001017E6"/>
    <w:rsid w:val="00121F69"/>
    <w:rsid w:val="001442E6"/>
    <w:rsid w:val="00172D44"/>
    <w:rsid w:val="001745A3"/>
    <w:rsid w:val="00174B8F"/>
    <w:rsid w:val="001A421D"/>
    <w:rsid w:val="001C255C"/>
    <w:rsid w:val="001C2758"/>
    <w:rsid w:val="00201B60"/>
    <w:rsid w:val="002120ED"/>
    <w:rsid w:val="002173C5"/>
    <w:rsid w:val="0026442C"/>
    <w:rsid w:val="00265187"/>
    <w:rsid w:val="00276CEF"/>
    <w:rsid w:val="002C1851"/>
    <w:rsid w:val="00307BE4"/>
    <w:rsid w:val="003526EA"/>
    <w:rsid w:val="00367400"/>
    <w:rsid w:val="003766B9"/>
    <w:rsid w:val="003875D5"/>
    <w:rsid w:val="003922FF"/>
    <w:rsid w:val="003D218B"/>
    <w:rsid w:val="003D715F"/>
    <w:rsid w:val="003F2B34"/>
    <w:rsid w:val="004020E4"/>
    <w:rsid w:val="004116B0"/>
    <w:rsid w:val="0042447A"/>
    <w:rsid w:val="00446BE9"/>
    <w:rsid w:val="00466312"/>
    <w:rsid w:val="00481900"/>
    <w:rsid w:val="004C2545"/>
    <w:rsid w:val="004D71EE"/>
    <w:rsid w:val="004F0392"/>
    <w:rsid w:val="004F235F"/>
    <w:rsid w:val="004F5ED8"/>
    <w:rsid w:val="004F677E"/>
    <w:rsid w:val="00500282"/>
    <w:rsid w:val="00512428"/>
    <w:rsid w:val="00547D70"/>
    <w:rsid w:val="0055274B"/>
    <w:rsid w:val="00557125"/>
    <w:rsid w:val="00561F0A"/>
    <w:rsid w:val="00563551"/>
    <w:rsid w:val="0057731E"/>
    <w:rsid w:val="005812EF"/>
    <w:rsid w:val="005A3C44"/>
    <w:rsid w:val="005E2130"/>
    <w:rsid w:val="005E5E07"/>
    <w:rsid w:val="005F3529"/>
    <w:rsid w:val="006A67F3"/>
    <w:rsid w:val="006C43CF"/>
    <w:rsid w:val="006D5F4F"/>
    <w:rsid w:val="006E22D3"/>
    <w:rsid w:val="006E49AB"/>
    <w:rsid w:val="006E54AB"/>
    <w:rsid w:val="007125C1"/>
    <w:rsid w:val="007271FA"/>
    <w:rsid w:val="00730083"/>
    <w:rsid w:val="007335B7"/>
    <w:rsid w:val="007472EA"/>
    <w:rsid w:val="00751321"/>
    <w:rsid w:val="00766206"/>
    <w:rsid w:val="007768F3"/>
    <w:rsid w:val="00782AA0"/>
    <w:rsid w:val="007A5EC4"/>
    <w:rsid w:val="007B09D9"/>
    <w:rsid w:val="007B3064"/>
    <w:rsid w:val="007B76C5"/>
    <w:rsid w:val="008058E9"/>
    <w:rsid w:val="00830C7B"/>
    <w:rsid w:val="00837491"/>
    <w:rsid w:val="00841754"/>
    <w:rsid w:val="00842A58"/>
    <w:rsid w:val="00845F57"/>
    <w:rsid w:val="00861062"/>
    <w:rsid w:val="008945F3"/>
    <w:rsid w:val="00897C3E"/>
    <w:rsid w:val="008B067A"/>
    <w:rsid w:val="008D5E85"/>
    <w:rsid w:val="008E1344"/>
    <w:rsid w:val="008E3309"/>
    <w:rsid w:val="008E6F7E"/>
    <w:rsid w:val="008E732B"/>
    <w:rsid w:val="009018AF"/>
    <w:rsid w:val="00957589"/>
    <w:rsid w:val="00984CCC"/>
    <w:rsid w:val="009B221A"/>
    <w:rsid w:val="009B585E"/>
    <w:rsid w:val="009B755C"/>
    <w:rsid w:val="009C1A99"/>
    <w:rsid w:val="009D2B1B"/>
    <w:rsid w:val="009E510A"/>
    <w:rsid w:val="00A1664F"/>
    <w:rsid w:val="00A337E8"/>
    <w:rsid w:val="00A33CE1"/>
    <w:rsid w:val="00A50A3E"/>
    <w:rsid w:val="00A86FC7"/>
    <w:rsid w:val="00A90863"/>
    <w:rsid w:val="00A93E78"/>
    <w:rsid w:val="00AB5320"/>
    <w:rsid w:val="00AD2A58"/>
    <w:rsid w:val="00AD6376"/>
    <w:rsid w:val="00AE6043"/>
    <w:rsid w:val="00AF78B0"/>
    <w:rsid w:val="00B00A10"/>
    <w:rsid w:val="00B00BCC"/>
    <w:rsid w:val="00B03B38"/>
    <w:rsid w:val="00B50A5A"/>
    <w:rsid w:val="00B537DB"/>
    <w:rsid w:val="00B5631A"/>
    <w:rsid w:val="00B62E08"/>
    <w:rsid w:val="00B86CE4"/>
    <w:rsid w:val="00B95A2F"/>
    <w:rsid w:val="00C020A4"/>
    <w:rsid w:val="00C07BDB"/>
    <w:rsid w:val="00C21ECD"/>
    <w:rsid w:val="00C2449E"/>
    <w:rsid w:val="00C31B80"/>
    <w:rsid w:val="00C377F5"/>
    <w:rsid w:val="00C409FA"/>
    <w:rsid w:val="00C471BE"/>
    <w:rsid w:val="00C5290D"/>
    <w:rsid w:val="00C7647D"/>
    <w:rsid w:val="00C858CE"/>
    <w:rsid w:val="00CB0CA1"/>
    <w:rsid w:val="00CB1A8E"/>
    <w:rsid w:val="00CE1B67"/>
    <w:rsid w:val="00CE495F"/>
    <w:rsid w:val="00D16EEC"/>
    <w:rsid w:val="00D261C5"/>
    <w:rsid w:val="00D305B6"/>
    <w:rsid w:val="00D312A7"/>
    <w:rsid w:val="00D50C59"/>
    <w:rsid w:val="00D96C22"/>
    <w:rsid w:val="00DD3760"/>
    <w:rsid w:val="00E05516"/>
    <w:rsid w:val="00E214C7"/>
    <w:rsid w:val="00E25647"/>
    <w:rsid w:val="00E42C44"/>
    <w:rsid w:val="00E50025"/>
    <w:rsid w:val="00E5261E"/>
    <w:rsid w:val="00E7344F"/>
    <w:rsid w:val="00E75BF1"/>
    <w:rsid w:val="00E77C6D"/>
    <w:rsid w:val="00E84E01"/>
    <w:rsid w:val="00E87072"/>
    <w:rsid w:val="00E9426B"/>
    <w:rsid w:val="00EC3ECB"/>
    <w:rsid w:val="00ED5A4F"/>
    <w:rsid w:val="00ED6F3A"/>
    <w:rsid w:val="00F21614"/>
    <w:rsid w:val="00F2589C"/>
    <w:rsid w:val="00F26531"/>
    <w:rsid w:val="00F3352A"/>
    <w:rsid w:val="00F34002"/>
    <w:rsid w:val="00F53AB9"/>
    <w:rsid w:val="00F66C56"/>
    <w:rsid w:val="00F90709"/>
    <w:rsid w:val="00FB3690"/>
    <w:rsid w:val="00FC6CB6"/>
    <w:rsid w:val="00FD48D1"/>
    <w:rsid w:val="00FF569F"/>
    <w:rsid w:val="00FF79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08232"/>
  <w15:docId w15:val="{81F606F6-4694-498E-A224-5E2C7F1BE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8E9"/>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E22D3"/>
    <w:pPr>
      <w:tabs>
        <w:tab w:val="center" w:pos="4536"/>
        <w:tab w:val="right" w:pos="9072"/>
      </w:tabs>
    </w:pPr>
  </w:style>
  <w:style w:type="character" w:customStyle="1" w:styleId="En-tteCar">
    <w:name w:val="En-tête Car"/>
    <w:basedOn w:val="Policepardfaut"/>
    <w:link w:val="En-tte"/>
    <w:uiPriority w:val="99"/>
    <w:rsid w:val="006E22D3"/>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6E22D3"/>
    <w:pPr>
      <w:tabs>
        <w:tab w:val="center" w:pos="4536"/>
        <w:tab w:val="right" w:pos="9072"/>
      </w:tabs>
    </w:pPr>
  </w:style>
  <w:style w:type="character" w:customStyle="1" w:styleId="PieddepageCar">
    <w:name w:val="Pied de page Car"/>
    <w:basedOn w:val="Policepardfaut"/>
    <w:link w:val="Pieddepage"/>
    <w:uiPriority w:val="99"/>
    <w:rsid w:val="006E22D3"/>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446BE9"/>
    <w:rPr>
      <w:rFonts w:ascii="Tahoma" w:hAnsi="Tahoma" w:cs="Tahoma"/>
      <w:sz w:val="16"/>
      <w:szCs w:val="16"/>
    </w:rPr>
  </w:style>
  <w:style w:type="character" w:customStyle="1" w:styleId="TextedebullesCar">
    <w:name w:val="Texte de bulles Car"/>
    <w:basedOn w:val="Policepardfaut"/>
    <w:link w:val="Textedebulles"/>
    <w:uiPriority w:val="99"/>
    <w:semiHidden/>
    <w:rsid w:val="00446BE9"/>
    <w:rPr>
      <w:rFonts w:ascii="Tahoma" w:eastAsia="Times New Roman" w:hAnsi="Tahoma" w:cs="Tahoma"/>
      <w:sz w:val="16"/>
      <w:szCs w:val="16"/>
      <w:lang w:eastAsia="fr-FR"/>
    </w:rPr>
  </w:style>
  <w:style w:type="table" w:styleId="Grilledutableau">
    <w:name w:val="Table Grid"/>
    <w:basedOn w:val="TableauNormal"/>
    <w:uiPriority w:val="59"/>
    <w:rsid w:val="00367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367400"/>
    <w:pPr>
      <w:ind w:left="720"/>
      <w:contextualSpacing/>
    </w:pPr>
  </w:style>
  <w:style w:type="character" w:styleId="lev">
    <w:name w:val="Strong"/>
    <w:basedOn w:val="Policepardfaut"/>
    <w:uiPriority w:val="22"/>
    <w:qFormat/>
    <w:rsid w:val="009C1A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425041">
      <w:bodyDiv w:val="1"/>
      <w:marLeft w:val="0"/>
      <w:marRight w:val="0"/>
      <w:marTop w:val="0"/>
      <w:marBottom w:val="0"/>
      <w:divBdr>
        <w:top w:val="none" w:sz="0" w:space="0" w:color="auto"/>
        <w:left w:val="none" w:sz="0" w:space="0" w:color="auto"/>
        <w:bottom w:val="none" w:sz="0" w:space="0" w:color="auto"/>
        <w:right w:val="none" w:sz="0" w:space="0" w:color="auto"/>
      </w:divBdr>
    </w:div>
    <w:div w:id="1908107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3</Pages>
  <Words>714</Words>
  <Characters>3928</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Mme DASCOLI</dc:creator>
  <cp:lastModifiedBy>Rémi Piu</cp:lastModifiedBy>
  <cp:revision>20</cp:revision>
  <cp:lastPrinted>2026-02-11T09:14:00Z</cp:lastPrinted>
  <dcterms:created xsi:type="dcterms:W3CDTF">2025-03-26T10:17:00Z</dcterms:created>
  <dcterms:modified xsi:type="dcterms:W3CDTF">2026-03-27T15:05:00Z</dcterms:modified>
</cp:coreProperties>
</file>