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832D33" w14:textId="77777777" w:rsidR="00B857F2" w:rsidRDefault="00B857F2" w:rsidP="00540C1F">
      <w:pPr>
        <w:spacing w:after="0" w:line="240" w:lineRule="auto"/>
        <w:ind w:right="142"/>
        <w:jc w:val="center"/>
        <w:rPr>
          <w:rFonts w:eastAsia="Times New Roman" w:cstheme="minorHAnsi"/>
          <w:b/>
          <w:sz w:val="24"/>
          <w:szCs w:val="24"/>
          <w:lang w:eastAsia="fr-FR"/>
        </w:rPr>
      </w:pPr>
    </w:p>
    <w:p w14:paraId="6D66C398" w14:textId="77777777" w:rsidR="00B857F2" w:rsidRPr="00B857F2" w:rsidRDefault="00B857F2" w:rsidP="00540C1F">
      <w:pPr>
        <w:spacing w:after="0" w:line="240" w:lineRule="auto"/>
        <w:ind w:right="142"/>
        <w:jc w:val="center"/>
        <w:rPr>
          <w:rFonts w:eastAsia="Times New Roman" w:cstheme="minorHAnsi"/>
          <w:b/>
          <w:sz w:val="24"/>
          <w:szCs w:val="24"/>
          <w:lang w:eastAsia="fr-FR"/>
        </w:rPr>
      </w:pPr>
    </w:p>
    <w:p w14:paraId="1A6A9056" w14:textId="12560775" w:rsidR="00B857F2" w:rsidRPr="00B857F2" w:rsidRDefault="00B857F2" w:rsidP="00540C1F">
      <w:pPr>
        <w:spacing w:after="0" w:line="240" w:lineRule="auto"/>
        <w:ind w:right="142"/>
        <w:jc w:val="both"/>
        <w:rPr>
          <w:rFonts w:eastAsia="Times New Roman" w:cstheme="minorHAnsi"/>
          <w:b/>
          <w:sz w:val="24"/>
          <w:szCs w:val="24"/>
          <w:lang w:eastAsia="fr-FR"/>
        </w:rPr>
      </w:pPr>
      <w:r w:rsidRPr="00B857F2">
        <w:rPr>
          <w:rFonts w:eastAsia="Times New Roman" w:cstheme="minorHAnsi"/>
          <w:b/>
          <w:sz w:val="24"/>
          <w:szCs w:val="24"/>
          <w:lang w:eastAsia="fr-FR"/>
        </w:rPr>
        <w:t xml:space="preserve">Objet : </w:t>
      </w:r>
      <w:r w:rsidR="00A64442">
        <w:rPr>
          <w:rFonts w:ascii="Calibri" w:hAnsi="Calibri" w:cs="Calibri"/>
          <w:b/>
          <w:sz w:val="28"/>
          <w:szCs w:val="28"/>
        </w:rPr>
        <w:t xml:space="preserve">Personnel communal – Modification du régime indemnitaire tenant compte des fonctions, sujétions, de l’expertise et de l’engagement professionnel (RIFSEEP) </w:t>
      </w:r>
      <w:r w:rsidR="00A64442" w:rsidRPr="00BB7A21">
        <w:rPr>
          <w:rFonts w:ascii="Calibri" w:hAnsi="Calibri" w:cs="Calibri"/>
          <w:b/>
          <w:sz w:val="28"/>
          <w:szCs w:val="28"/>
        </w:rPr>
        <w:t xml:space="preserve">à compter du </w:t>
      </w:r>
      <w:r w:rsidR="0047448B" w:rsidRPr="00CE32FB">
        <w:rPr>
          <w:rFonts w:ascii="Calibri" w:hAnsi="Calibri" w:cs="Calibri"/>
          <w:b/>
          <w:sz w:val="28"/>
          <w:szCs w:val="28"/>
        </w:rPr>
        <w:t>01/</w:t>
      </w:r>
      <w:r w:rsidR="00E30EA6">
        <w:rPr>
          <w:rFonts w:ascii="Calibri" w:hAnsi="Calibri" w:cs="Calibri"/>
          <w:b/>
          <w:sz w:val="28"/>
          <w:szCs w:val="28"/>
        </w:rPr>
        <w:t>04</w:t>
      </w:r>
      <w:r w:rsidR="0047448B" w:rsidRPr="00CE32FB">
        <w:rPr>
          <w:rFonts w:ascii="Calibri" w:hAnsi="Calibri" w:cs="Calibri"/>
          <w:b/>
          <w:sz w:val="28"/>
          <w:szCs w:val="28"/>
        </w:rPr>
        <w:t>/202</w:t>
      </w:r>
      <w:r w:rsidR="00DE5209" w:rsidRPr="00CE32FB">
        <w:rPr>
          <w:rFonts w:ascii="Calibri" w:hAnsi="Calibri" w:cs="Calibri"/>
          <w:b/>
          <w:sz w:val="28"/>
          <w:szCs w:val="28"/>
        </w:rPr>
        <w:t>6</w:t>
      </w:r>
    </w:p>
    <w:p w14:paraId="052FFF4C" w14:textId="3020DE23" w:rsidR="00B857F2" w:rsidRPr="004E2D59" w:rsidRDefault="00B857F2" w:rsidP="00540C1F">
      <w:pPr>
        <w:spacing w:after="0" w:line="240" w:lineRule="auto"/>
        <w:ind w:right="142"/>
        <w:rPr>
          <w:rFonts w:eastAsia="Times New Roman" w:cstheme="minorHAnsi"/>
          <w:b/>
          <w:lang w:eastAsia="fr-FR"/>
        </w:rPr>
      </w:pPr>
      <w:r w:rsidRPr="00B857F2">
        <w:rPr>
          <w:rFonts w:eastAsia="Times New Roman" w:cstheme="minorHAnsi"/>
          <w:b/>
          <w:sz w:val="24"/>
          <w:szCs w:val="24"/>
          <w:lang w:eastAsia="fr-FR"/>
        </w:rPr>
        <w:t xml:space="preserve"> </w:t>
      </w:r>
    </w:p>
    <w:p w14:paraId="492442E0" w14:textId="3B676E32" w:rsidR="00B857F2" w:rsidRPr="004E2D59" w:rsidRDefault="00B857F2" w:rsidP="00540C1F">
      <w:pPr>
        <w:spacing w:after="0" w:line="240" w:lineRule="auto"/>
        <w:ind w:right="142"/>
        <w:rPr>
          <w:rFonts w:eastAsia="Times New Roman" w:cstheme="minorHAnsi"/>
          <w:lang w:eastAsia="fr-FR"/>
        </w:rPr>
      </w:pPr>
    </w:p>
    <w:p w14:paraId="38AE9EC5" w14:textId="77777777" w:rsidR="00A64442" w:rsidRPr="004E2D59" w:rsidRDefault="00A64442" w:rsidP="00D154C9">
      <w:pPr>
        <w:numPr>
          <w:ilvl w:val="0"/>
          <w:numId w:val="9"/>
        </w:numPr>
        <w:spacing w:after="120" w:line="240" w:lineRule="auto"/>
        <w:ind w:left="357" w:hanging="357"/>
        <w:jc w:val="both"/>
        <w:rPr>
          <w:rFonts w:cstheme="minorHAnsi"/>
        </w:rPr>
      </w:pPr>
      <w:proofErr w:type="gramStart"/>
      <w:r w:rsidRPr="004E2D59">
        <w:rPr>
          <w:rFonts w:cstheme="minorHAnsi"/>
        </w:rPr>
        <w:t>le</w:t>
      </w:r>
      <w:proofErr w:type="gramEnd"/>
      <w:r w:rsidRPr="004E2D59">
        <w:rPr>
          <w:rFonts w:cstheme="minorHAnsi"/>
        </w:rPr>
        <w:t xml:space="preserve"> Code général des collectivités territoriales, notamment l’article L 2121-29,</w:t>
      </w:r>
    </w:p>
    <w:p w14:paraId="1E0DC0D6" w14:textId="77777777" w:rsidR="00A64442" w:rsidRPr="004E2D59" w:rsidRDefault="00A64442" w:rsidP="00D154C9">
      <w:pPr>
        <w:numPr>
          <w:ilvl w:val="0"/>
          <w:numId w:val="9"/>
        </w:numPr>
        <w:spacing w:after="120" w:line="240" w:lineRule="auto"/>
        <w:ind w:left="357" w:hanging="357"/>
        <w:jc w:val="both"/>
        <w:rPr>
          <w:rFonts w:cstheme="minorHAnsi"/>
        </w:rPr>
      </w:pPr>
      <w:proofErr w:type="gramStart"/>
      <w:r w:rsidRPr="004E2D59">
        <w:rPr>
          <w:rFonts w:cstheme="minorHAnsi"/>
        </w:rPr>
        <w:t>le</w:t>
      </w:r>
      <w:proofErr w:type="gramEnd"/>
      <w:r w:rsidRPr="004E2D59">
        <w:rPr>
          <w:rFonts w:cstheme="minorHAnsi"/>
        </w:rPr>
        <w:t xml:space="preserve"> Code général de la fonction publique,</w:t>
      </w:r>
    </w:p>
    <w:p w14:paraId="7A343A42" w14:textId="0C4AC1BC" w:rsidR="00A64442" w:rsidRDefault="0077410C" w:rsidP="00D154C9">
      <w:pPr>
        <w:numPr>
          <w:ilvl w:val="0"/>
          <w:numId w:val="9"/>
        </w:numPr>
        <w:spacing w:after="120" w:line="240" w:lineRule="auto"/>
        <w:ind w:left="357" w:hanging="357"/>
        <w:jc w:val="both"/>
        <w:rPr>
          <w:rFonts w:cstheme="minorHAnsi"/>
        </w:rPr>
      </w:pPr>
      <w:proofErr w:type="gramStart"/>
      <w:r>
        <w:rPr>
          <w:rFonts w:cstheme="minorHAnsi"/>
        </w:rPr>
        <w:t>la</w:t>
      </w:r>
      <w:proofErr w:type="gramEnd"/>
      <w:r>
        <w:rPr>
          <w:rFonts w:cstheme="minorHAnsi"/>
        </w:rPr>
        <w:t xml:space="preserve"> délibération n°22 du 29 octobre 1985</w:t>
      </w:r>
      <w:r w:rsidR="00A64442" w:rsidRPr="004E2D59">
        <w:rPr>
          <w:rFonts w:cstheme="minorHAnsi"/>
        </w:rPr>
        <w:t xml:space="preserve"> </w:t>
      </w:r>
      <w:r>
        <w:rPr>
          <w:rFonts w:cstheme="minorHAnsi"/>
        </w:rPr>
        <w:t>relative à l’attribution du prime dite de 13</w:t>
      </w:r>
      <w:r w:rsidRPr="0077410C">
        <w:rPr>
          <w:rFonts w:cstheme="minorHAnsi"/>
          <w:vertAlign w:val="superscript"/>
        </w:rPr>
        <w:t>ème</w:t>
      </w:r>
      <w:r>
        <w:rPr>
          <w:rFonts w:cstheme="minorHAnsi"/>
        </w:rPr>
        <w:t xml:space="preserve"> mois,</w:t>
      </w:r>
    </w:p>
    <w:p w14:paraId="78B5EBB4" w14:textId="6E361CAB" w:rsidR="0077410C" w:rsidRDefault="0077410C" w:rsidP="00D154C9">
      <w:pPr>
        <w:numPr>
          <w:ilvl w:val="0"/>
          <w:numId w:val="9"/>
        </w:numPr>
        <w:spacing w:after="120" w:line="240" w:lineRule="auto"/>
        <w:ind w:left="357" w:hanging="357"/>
        <w:jc w:val="both"/>
        <w:rPr>
          <w:rFonts w:cstheme="minorHAnsi"/>
        </w:rPr>
      </w:pPr>
      <w:proofErr w:type="gramStart"/>
      <w:r>
        <w:rPr>
          <w:rFonts w:cstheme="minorHAnsi"/>
        </w:rPr>
        <w:t>la</w:t>
      </w:r>
      <w:proofErr w:type="gramEnd"/>
      <w:r>
        <w:rPr>
          <w:rFonts w:cstheme="minorHAnsi"/>
        </w:rPr>
        <w:t xml:space="preserve"> délibération n°35 du 6 novembre 1986 relative à la reconduction de la prime du 13</w:t>
      </w:r>
      <w:r w:rsidRPr="0077410C">
        <w:rPr>
          <w:rFonts w:cstheme="minorHAnsi"/>
          <w:vertAlign w:val="superscript"/>
        </w:rPr>
        <w:t>ème</w:t>
      </w:r>
      <w:r>
        <w:rPr>
          <w:rFonts w:cstheme="minorHAnsi"/>
        </w:rPr>
        <w:t xml:space="preserve"> mois,</w:t>
      </w:r>
    </w:p>
    <w:p w14:paraId="62C46D26" w14:textId="25EB33EC" w:rsidR="0077410C" w:rsidRDefault="0077410C" w:rsidP="00D154C9">
      <w:pPr>
        <w:numPr>
          <w:ilvl w:val="0"/>
          <w:numId w:val="9"/>
        </w:numPr>
        <w:spacing w:after="120" w:line="240" w:lineRule="auto"/>
        <w:ind w:left="357" w:hanging="357"/>
        <w:jc w:val="both"/>
        <w:rPr>
          <w:rFonts w:cstheme="minorHAnsi"/>
        </w:rPr>
      </w:pPr>
      <w:proofErr w:type="gramStart"/>
      <w:r>
        <w:rPr>
          <w:rFonts w:cstheme="minorHAnsi"/>
        </w:rPr>
        <w:t>la</w:t>
      </w:r>
      <w:proofErr w:type="gramEnd"/>
      <w:r>
        <w:rPr>
          <w:rFonts w:cstheme="minorHAnsi"/>
        </w:rPr>
        <w:t xml:space="preserve"> délibération n°12-05 du 25 janvier 2005 relative aux nouvelles modalités de calcul de la prime de Noël, appelée également 13</w:t>
      </w:r>
      <w:r w:rsidRPr="0077410C">
        <w:rPr>
          <w:rFonts w:cstheme="minorHAnsi"/>
          <w:vertAlign w:val="superscript"/>
        </w:rPr>
        <w:t>ème</w:t>
      </w:r>
      <w:r>
        <w:rPr>
          <w:rFonts w:cstheme="minorHAnsi"/>
        </w:rPr>
        <w:t xml:space="preserve"> mois,</w:t>
      </w:r>
    </w:p>
    <w:p w14:paraId="15AFED16" w14:textId="684E0C80" w:rsidR="0077410C" w:rsidRPr="004E2D59" w:rsidRDefault="0077410C" w:rsidP="00D154C9">
      <w:pPr>
        <w:numPr>
          <w:ilvl w:val="0"/>
          <w:numId w:val="9"/>
        </w:numPr>
        <w:spacing w:after="120" w:line="240" w:lineRule="auto"/>
        <w:ind w:left="357" w:hanging="357"/>
        <w:jc w:val="both"/>
        <w:rPr>
          <w:rFonts w:cstheme="minorHAnsi"/>
        </w:rPr>
      </w:pPr>
      <w:proofErr w:type="gramStart"/>
      <w:r>
        <w:rPr>
          <w:rFonts w:cstheme="minorHAnsi"/>
        </w:rPr>
        <w:t>la</w:t>
      </w:r>
      <w:proofErr w:type="gramEnd"/>
      <w:r>
        <w:rPr>
          <w:rFonts w:cstheme="minorHAnsi"/>
        </w:rPr>
        <w:t xml:space="preserve"> délibération n°2018-027 du 20 mars 2018 relative à la modification de la règle de versement du 13</w:t>
      </w:r>
      <w:r w:rsidRPr="0077410C">
        <w:rPr>
          <w:rFonts w:cstheme="minorHAnsi"/>
          <w:vertAlign w:val="superscript"/>
        </w:rPr>
        <w:t>ème</w:t>
      </w:r>
      <w:r>
        <w:rPr>
          <w:rFonts w:cstheme="minorHAnsi"/>
        </w:rPr>
        <w:t xml:space="preserve"> mois en cas d’absence </w:t>
      </w:r>
      <w:r w:rsidR="00524BAD">
        <w:rPr>
          <w:rFonts w:cstheme="minorHAnsi"/>
        </w:rPr>
        <w:t>due à des congés maladie des suites d’une hospitalisation,</w:t>
      </w:r>
    </w:p>
    <w:p w14:paraId="40ABFF18" w14:textId="022FABB0" w:rsidR="00A64442" w:rsidRPr="004E2D59" w:rsidRDefault="00A64442" w:rsidP="00D154C9">
      <w:pPr>
        <w:numPr>
          <w:ilvl w:val="0"/>
          <w:numId w:val="9"/>
        </w:numPr>
        <w:spacing w:after="120" w:line="240" w:lineRule="auto"/>
        <w:ind w:left="357" w:hanging="357"/>
        <w:jc w:val="both"/>
        <w:rPr>
          <w:rFonts w:cstheme="minorHAnsi"/>
        </w:rPr>
      </w:pPr>
      <w:proofErr w:type="gramStart"/>
      <w:r w:rsidRPr="004E2D59">
        <w:rPr>
          <w:rFonts w:cstheme="minorHAnsi"/>
        </w:rPr>
        <w:t>la</w:t>
      </w:r>
      <w:proofErr w:type="gramEnd"/>
      <w:r w:rsidRPr="004E2D59">
        <w:rPr>
          <w:rFonts w:cstheme="minorHAnsi"/>
        </w:rPr>
        <w:t xml:space="preserve"> délibération n°2020-115 du 15 décembre 2020 relative à l’instauration du RIFSEEP, </w:t>
      </w:r>
    </w:p>
    <w:p w14:paraId="43F4F0DD" w14:textId="3645B913" w:rsidR="00A64442" w:rsidRPr="004E2D59" w:rsidRDefault="00D154C9" w:rsidP="00D154C9">
      <w:pPr>
        <w:numPr>
          <w:ilvl w:val="0"/>
          <w:numId w:val="9"/>
        </w:numPr>
        <w:spacing w:after="120" w:line="240" w:lineRule="auto"/>
        <w:ind w:left="357" w:hanging="357"/>
        <w:jc w:val="both"/>
        <w:rPr>
          <w:rFonts w:cstheme="minorHAnsi"/>
        </w:rPr>
      </w:pPr>
      <w:proofErr w:type="gramStart"/>
      <w:r>
        <w:rPr>
          <w:rFonts w:cstheme="minorHAnsi"/>
        </w:rPr>
        <w:t>la</w:t>
      </w:r>
      <w:proofErr w:type="gramEnd"/>
      <w:r>
        <w:rPr>
          <w:rFonts w:cstheme="minorHAnsi"/>
        </w:rPr>
        <w:t xml:space="preserve"> délibération n°2025-141 du 21 octobre 2025 modifiant le RIFSEEP,</w:t>
      </w:r>
    </w:p>
    <w:p w14:paraId="21662525" w14:textId="40B8E3CB" w:rsidR="00A64442" w:rsidRPr="004E2D59" w:rsidRDefault="00A64442" w:rsidP="00D154C9">
      <w:pPr>
        <w:numPr>
          <w:ilvl w:val="0"/>
          <w:numId w:val="9"/>
        </w:numPr>
        <w:spacing w:after="120" w:line="240" w:lineRule="auto"/>
        <w:ind w:left="357" w:hanging="357"/>
        <w:jc w:val="both"/>
        <w:rPr>
          <w:rFonts w:cstheme="minorHAnsi"/>
        </w:rPr>
      </w:pPr>
      <w:r w:rsidRPr="004E2D59">
        <w:rPr>
          <w:rFonts w:cstheme="minorHAnsi"/>
        </w:rPr>
        <w:t xml:space="preserve">l’avis </w:t>
      </w:r>
      <w:r w:rsidR="00E30EA6">
        <w:rPr>
          <w:rFonts w:cstheme="minorHAnsi"/>
        </w:rPr>
        <w:t xml:space="preserve">défavorable </w:t>
      </w:r>
      <w:r w:rsidRPr="004E2D59">
        <w:rPr>
          <w:rFonts w:cstheme="minorHAnsi"/>
        </w:rPr>
        <w:t xml:space="preserve">du </w:t>
      </w:r>
      <w:r w:rsidR="00DE5209">
        <w:rPr>
          <w:rFonts w:cstheme="minorHAnsi"/>
        </w:rPr>
        <w:t>C</w:t>
      </w:r>
      <w:r w:rsidRPr="004E2D59">
        <w:rPr>
          <w:rFonts w:cstheme="minorHAnsi"/>
        </w:rPr>
        <w:t xml:space="preserve">omité </w:t>
      </w:r>
      <w:r w:rsidR="00DE5209">
        <w:rPr>
          <w:rFonts w:cstheme="minorHAnsi"/>
        </w:rPr>
        <w:t>S</w:t>
      </w:r>
      <w:r w:rsidRPr="004E2D59">
        <w:rPr>
          <w:rFonts w:cstheme="minorHAnsi"/>
        </w:rPr>
        <w:t xml:space="preserve">ocial </w:t>
      </w:r>
      <w:r w:rsidR="00DE5209">
        <w:rPr>
          <w:rFonts w:cstheme="minorHAnsi"/>
        </w:rPr>
        <w:t>T</w:t>
      </w:r>
      <w:r w:rsidRPr="004E2D59">
        <w:rPr>
          <w:rFonts w:cstheme="minorHAnsi"/>
        </w:rPr>
        <w:t xml:space="preserve">erritorial en date du </w:t>
      </w:r>
      <w:r w:rsidR="00346C58">
        <w:rPr>
          <w:rFonts w:cstheme="minorHAnsi"/>
        </w:rPr>
        <w:t>10</w:t>
      </w:r>
      <w:bookmarkStart w:id="0" w:name="_GoBack"/>
      <w:bookmarkEnd w:id="0"/>
      <w:r w:rsidR="00E30EA6">
        <w:rPr>
          <w:rFonts w:cstheme="minorHAnsi"/>
        </w:rPr>
        <w:t xml:space="preserve"> mars 2026</w:t>
      </w:r>
      <w:r w:rsidRPr="004E2D59">
        <w:rPr>
          <w:rFonts w:cstheme="minorHAnsi"/>
        </w:rPr>
        <w:t xml:space="preserve">, </w:t>
      </w:r>
    </w:p>
    <w:p w14:paraId="0E03E82B" w14:textId="4E4EB976" w:rsidR="00A64442" w:rsidRPr="004E2D59" w:rsidRDefault="00A64442" w:rsidP="00540C1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1FCDC982" w14:textId="7BE13DFD" w:rsidR="00460E3C" w:rsidRPr="004E2D59" w:rsidRDefault="00C00849" w:rsidP="00540C1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4E2D59">
        <w:rPr>
          <w:rFonts w:cstheme="minorHAnsi"/>
        </w:rPr>
        <w:t xml:space="preserve">Monsieur </w:t>
      </w:r>
      <w:r w:rsidR="00E30EA6">
        <w:rPr>
          <w:rFonts w:cstheme="minorHAnsi"/>
        </w:rPr>
        <w:t>le Maire</w:t>
      </w:r>
      <w:r w:rsidRPr="004E2D59">
        <w:rPr>
          <w:rFonts w:cstheme="minorHAnsi"/>
        </w:rPr>
        <w:t xml:space="preserve"> </w:t>
      </w:r>
      <w:r w:rsidR="00E30EA6">
        <w:rPr>
          <w:rFonts w:cstheme="minorHAnsi"/>
        </w:rPr>
        <w:t>expose</w:t>
      </w:r>
      <w:r w:rsidR="00EA02AD" w:rsidRPr="004E2D59">
        <w:rPr>
          <w:rFonts w:cstheme="minorHAnsi"/>
        </w:rPr>
        <w:t xml:space="preserve"> que </w:t>
      </w:r>
      <w:r w:rsidR="00A64442" w:rsidRPr="004E2D59">
        <w:rPr>
          <w:rFonts w:cstheme="minorHAnsi"/>
        </w:rPr>
        <w:t>le RIFSEEP est mis en place par la commune</w:t>
      </w:r>
      <w:r w:rsidR="00EA02AD" w:rsidRPr="004E2D59">
        <w:rPr>
          <w:rFonts w:cstheme="minorHAnsi"/>
        </w:rPr>
        <w:t xml:space="preserve"> depuis le 1</w:t>
      </w:r>
      <w:r w:rsidR="00EA02AD" w:rsidRPr="004E2D59">
        <w:rPr>
          <w:rFonts w:cstheme="minorHAnsi"/>
          <w:vertAlign w:val="superscript"/>
        </w:rPr>
        <w:t>er</w:t>
      </w:r>
      <w:r w:rsidR="00EA02AD" w:rsidRPr="004E2D59">
        <w:rPr>
          <w:rFonts w:cstheme="minorHAnsi"/>
        </w:rPr>
        <w:t xml:space="preserve"> janvier 2021</w:t>
      </w:r>
      <w:r w:rsidR="00D154C9">
        <w:rPr>
          <w:rFonts w:cstheme="minorHAnsi"/>
        </w:rPr>
        <w:t>. Il a été modifié par délibération lors du conseil municipal du 21 octobre 2025,</w:t>
      </w:r>
    </w:p>
    <w:p w14:paraId="7349A8AA" w14:textId="77777777" w:rsidR="00EA02AD" w:rsidRPr="004E2D59" w:rsidRDefault="00EA02AD" w:rsidP="00540C1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4C8E7EA8" w14:textId="77777777" w:rsidR="00EA02AD" w:rsidRPr="004E2D59" w:rsidRDefault="00EA02AD" w:rsidP="00540C1F">
      <w:pPr>
        <w:spacing w:after="0" w:line="240" w:lineRule="auto"/>
        <w:jc w:val="both"/>
        <w:rPr>
          <w:rFonts w:cstheme="minorHAnsi"/>
        </w:rPr>
      </w:pPr>
      <w:r w:rsidRPr="004E2D59">
        <w:rPr>
          <w:rFonts w:cstheme="minorHAnsi"/>
        </w:rPr>
        <w:t xml:space="preserve">Ce régime indemnitaire est versé aux agents titulaires et contractuels de la commune en complément de leur traitement indiciaire de base. Il se compose de deux parts : </w:t>
      </w:r>
    </w:p>
    <w:p w14:paraId="6A637E88" w14:textId="77777777" w:rsidR="00EA02AD" w:rsidRPr="004E2D59" w:rsidRDefault="00EA02AD" w:rsidP="00540C1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39D87B12" w14:textId="602685B9" w:rsidR="00EA02AD" w:rsidRPr="004E2D59" w:rsidRDefault="00EA02AD" w:rsidP="00540C1F">
      <w:pPr>
        <w:pStyle w:val="Paragraphedeliste"/>
        <w:numPr>
          <w:ilvl w:val="0"/>
          <w:numId w:val="1"/>
        </w:numPr>
        <w:spacing w:after="0" w:line="240" w:lineRule="auto"/>
        <w:ind w:left="714" w:hanging="357"/>
        <w:contextualSpacing w:val="0"/>
        <w:jc w:val="both"/>
        <w:rPr>
          <w:rFonts w:cstheme="minorHAnsi"/>
        </w:rPr>
      </w:pPr>
      <w:r w:rsidRPr="004E2D59">
        <w:rPr>
          <w:rFonts w:cstheme="minorHAnsi"/>
        </w:rPr>
        <w:t>Une part fixe, l’Indemnité de Fonction, de Sujétion et d’Expertise (IFSE), qui valorise le niveau de responsabilité, d’expertise et d’exposition à des sujétions particulières spécifiques au poste</w:t>
      </w:r>
      <w:r w:rsidR="007E657E" w:rsidRPr="004E2D59">
        <w:rPr>
          <w:rFonts w:cstheme="minorHAnsi"/>
        </w:rPr>
        <w:t>.</w:t>
      </w:r>
    </w:p>
    <w:p w14:paraId="2B2611F6" w14:textId="77777777" w:rsidR="00EA02AD" w:rsidRPr="004E2D59" w:rsidRDefault="00EA02AD" w:rsidP="00540C1F">
      <w:pPr>
        <w:spacing w:after="0" w:line="240" w:lineRule="auto"/>
        <w:ind w:left="357"/>
        <w:jc w:val="both"/>
        <w:rPr>
          <w:rFonts w:cstheme="minorHAnsi"/>
        </w:rPr>
      </w:pPr>
    </w:p>
    <w:p w14:paraId="1EF7AE6C" w14:textId="592F0FF8" w:rsidR="00EA02AD" w:rsidRPr="004E2D59" w:rsidRDefault="00EA02AD" w:rsidP="00540C1F">
      <w:pPr>
        <w:pStyle w:val="Paragraphedeliste"/>
        <w:numPr>
          <w:ilvl w:val="0"/>
          <w:numId w:val="1"/>
        </w:numPr>
        <w:spacing w:after="0" w:line="240" w:lineRule="auto"/>
        <w:ind w:left="714" w:hanging="357"/>
        <w:contextualSpacing w:val="0"/>
        <w:jc w:val="both"/>
        <w:rPr>
          <w:rFonts w:cstheme="minorHAnsi"/>
        </w:rPr>
      </w:pPr>
      <w:r w:rsidRPr="004E2D59">
        <w:rPr>
          <w:rFonts w:cstheme="minorHAnsi"/>
        </w:rPr>
        <w:t>Une part variable, le Complément Indemnitaire Annuel (CIA), prenant en compte l’engagement professionnel et la manière de servir de l’agent</w:t>
      </w:r>
      <w:r w:rsidR="007E657E" w:rsidRPr="004E2D59">
        <w:rPr>
          <w:rFonts w:cstheme="minorHAnsi"/>
        </w:rPr>
        <w:t>.</w:t>
      </w:r>
    </w:p>
    <w:p w14:paraId="415689A7" w14:textId="565BB5EE" w:rsidR="00EA02AD" w:rsidRPr="004E2D59" w:rsidRDefault="00EA02AD" w:rsidP="00540C1F">
      <w:pPr>
        <w:spacing w:after="0" w:line="240" w:lineRule="auto"/>
        <w:jc w:val="both"/>
        <w:rPr>
          <w:rFonts w:cstheme="minorHAnsi"/>
        </w:rPr>
      </w:pPr>
    </w:p>
    <w:p w14:paraId="2FEB9CD1" w14:textId="6AC0EDD0" w:rsidR="00EA02AD" w:rsidRPr="004E2D59" w:rsidRDefault="00EA02AD" w:rsidP="00540C1F">
      <w:pPr>
        <w:spacing w:after="0" w:line="240" w:lineRule="auto"/>
        <w:jc w:val="both"/>
        <w:rPr>
          <w:rFonts w:cstheme="minorHAnsi"/>
        </w:rPr>
      </w:pPr>
      <w:r w:rsidRPr="004E2D59">
        <w:rPr>
          <w:rFonts w:cstheme="minorHAnsi"/>
        </w:rPr>
        <w:t xml:space="preserve">Les conditions de versement </w:t>
      </w:r>
      <w:r w:rsidR="00D154C9">
        <w:rPr>
          <w:rFonts w:cstheme="minorHAnsi"/>
        </w:rPr>
        <w:t xml:space="preserve">actuelles </w:t>
      </w:r>
      <w:r w:rsidRPr="004E2D59">
        <w:rPr>
          <w:rFonts w:cstheme="minorHAnsi"/>
        </w:rPr>
        <w:t xml:space="preserve">du RIFSEEP sont définies dans un règlement annexé à la délibération </w:t>
      </w:r>
      <w:r w:rsidRPr="00D154C9">
        <w:rPr>
          <w:rFonts w:cstheme="minorHAnsi"/>
        </w:rPr>
        <w:t>n°202</w:t>
      </w:r>
      <w:r w:rsidR="002C6D66" w:rsidRPr="00D154C9">
        <w:rPr>
          <w:rFonts w:cstheme="minorHAnsi"/>
        </w:rPr>
        <w:t>5</w:t>
      </w:r>
      <w:r w:rsidRPr="00D154C9">
        <w:rPr>
          <w:rFonts w:cstheme="minorHAnsi"/>
        </w:rPr>
        <w:t>-</w:t>
      </w:r>
      <w:r w:rsidR="00D154C9" w:rsidRPr="00D154C9">
        <w:rPr>
          <w:rFonts w:cstheme="minorHAnsi"/>
        </w:rPr>
        <w:t>141 d</w:t>
      </w:r>
      <w:r w:rsidRPr="00D154C9">
        <w:rPr>
          <w:rFonts w:cstheme="minorHAnsi"/>
        </w:rPr>
        <w:t xml:space="preserve">u </w:t>
      </w:r>
      <w:r w:rsidR="00D154C9" w:rsidRPr="00D154C9">
        <w:rPr>
          <w:rFonts w:cstheme="minorHAnsi"/>
        </w:rPr>
        <w:t>21</w:t>
      </w:r>
      <w:r w:rsidRPr="00D154C9">
        <w:rPr>
          <w:rFonts w:cstheme="minorHAnsi"/>
        </w:rPr>
        <w:t xml:space="preserve"> </w:t>
      </w:r>
      <w:r w:rsidR="00D154C9" w:rsidRPr="00D154C9">
        <w:rPr>
          <w:rFonts w:cstheme="minorHAnsi"/>
        </w:rPr>
        <w:t>octobre</w:t>
      </w:r>
      <w:r w:rsidRPr="00D154C9">
        <w:rPr>
          <w:rFonts w:cstheme="minorHAnsi"/>
        </w:rPr>
        <w:t xml:space="preserve"> 202</w:t>
      </w:r>
      <w:r w:rsidR="002C6D66" w:rsidRPr="00D154C9">
        <w:rPr>
          <w:rFonts w:cstheme="minorHAnsi"/>
        </w:rPr>
        <w:t>5</w:t>
      </w:r>
      <w:r w:rsidRPr="00D154C9">
        <w:rPr>
          <w:rFonts w:cstheme="minorHAnsi"/>
        </w:rPr>
        <w:t>.</w:t>
      </w:r>
      <w:r w:rsidRPr="004E2D59">
        <w:rPr>
          <w:rFonts w:cstheme="minorHAnsi"/>
        </w:rPr>
        <w:t xml:space="preserve"> </w:t>
      </w:r>
    </w:p>
    <w:p w14:paraId="39CE96DD" w14:textId="457E5EAC" w:rsidR="00383798" w:rsidRPr="004E2D59" w:rsidRDefault="00383798" w:rsidP="00540C1F">
      <w:pPr>
        <w:spacing w:after="0" w:line="240" w:lineRule="auto"/>
        <w:jc w:val="both"/>
        <w:rPr>
          <w:rFonts w:cstheme="minorHAnsi"/>
        </w:rPr>
      </w:pPr>
    </w:p>
    <w:p w14:paraId="683E9682" w14:textId="0F9D7392" w:rsidR="00383798" w:rsidRPr="00D154C9" w:rsidRDefault="00D154C9" w:rsidP="00540C1F">
      <w:pPr>
        <w:spacing w:after="0" w:line="240" w:lineRule="auto"/>
        <w:jc w:val="both"/>
        <w:rPr>
          <w:rFonts w:cstheme="minorHAnsi"/>
        </w:rPr>
      </w:pPr>
      <w:r w:rsidRPr="00D154C9">
        <w:rPr>
          <w:rFonts w:cstheme="minorHAnsi"/>
        </w:rPr>
        <w:t>Afin de sécuriser juridiquement l’attribution du RIFSEEP, il apparaît nécessaire d’y apporter les modifications suivantes :</w:t>
      </w:r>
    </w:p>
    <w:p w14:paraId="79099958" w14:textId="770D51D0" w:rsidR="009344E9" w:rsidRPr="00D154C9" w:rsidRDefault="00D154C9" w:rsidP="00540C1F">
      <w:pPr>
        <w:pStyle w:val="Paragraphedeliste"/>
        <w:numPr>
          <w:ilvl w:val="0"/>
          <w:numId w:val="11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Suppression de la mention des avantages collectivement acquis avant l’entrée en vigueur de la loi du 26 janvier 1984 dans la liste des primes cumulables avec le RIFSEEP ;</w:t>
      </w:r>
    </w:p>
    <w:p w14:paraId="00D2D21A" w14:textId="3A22C8DB" w:rsidR="009344E9" w:rsidRPr="00D154C9" w:rsidRDefault="00D154C9" w:rsidP="00540C1F">
      <w:pPr>
        <w:pStyle w:val="Paragraphedeliste"/>
        <w:numPr>
          <w:ilvl w:val="0"/>
          <w:numId w:val="11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Suppression de la mention des plafonds mensuels de versement de l’IFSE, les plafonds annuels existants étant maintenus</w:t>
      </w:r>
      <w:r w:rsidR="009344E9" w:rsidRPr="00D154C9">
        <w:rPr>
          <w:rFonts w:cstheme="minorHAnsi"/>
        </w:rPr>
        <w:t xml:space="preserve"> ;</w:t>
      </w:r>
    </w:p>
    <w:p w14:paraId="3E78FB06" w14:textId="6D5B599B" w:rsidR="009344E9" w:rsidRDefault="0065570B" w:rsidP="00540C1F">
      <w:pPr>
        <w:pStyle w:val="Paragraphedeliste"/>
        <w:numPr>
          <w:ilvl w:val="0"/>
          <w:numId w:val="11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Abrogation des délibérations relatives au versement de la prime de fin d’année.</w:t>
      </w:r>
    </w:p>
    <w:p w14:paraId="7C2118C0" w14:textId="77777777" w:rsidR="0065570B" w:rsidRDefault="0065570B" w:rsidP="0065570B">
      <w:pPr>
        <w:spacing w:after="0" w:line="240" w:lineRule="auto"/>
        <w:jc w:val="both"/>
        <w:rPr>
          <w:rFonts w:cstheme="minorHAnsi"/>
        </w:rPr>
      </w:pPr>
    </w:p>
    <w:p w14:paraId="7BD51CCD" w14:textId="77777777" w:rsidR="0065570B" w:rsidRDefault="0065570B" w:rsidP="0065570B">
      <w:pPr>
        <w:spacing w:after="0" w:line="240" w:lineRule="auto"/>
        <w:jc w:val="both"/>
        <w:rPr>
          <w:rFonts w:cstheme="minorHAnsi"/>
        </w:rPr>
      </w:pPr>
    </w:p>
    <w:p w14:paraId="69C8047E" w14:textId="77777777" w:rsidR="0065570B" w:rsidRPr="0065570B" w:rsidRDefault="0065570B" w:rsidP="0065570B">
      <w:pPr>
        <w:spacing w:after="0" w:line="240" w:lineRule="auto"/>
        <w:jc w:val="both"/>
        <w:rPr>
          <w:rFonts w:cstheme="minorHAnsi"/>
        </w:rPr>
      </w:pPr>
    </w:p>
    <w:p w14:paraId="2401A7D5" w14:textId="6F24008B" w:rsidR="00475B9A" w:rsidRPr="004E2D59" w:rsidRDefault="00475B9A" w:rsidP="00540C1F">
      <w:pPr>
        <w:spacing w:after="0" w:line="240" w:lineRule="auto"/>
        <w:jc w:val="both"/>
        <w:rPr>
          <w:rFonts w:cstheme="minorHAnsi"/>
        </w:rPr>
      </w:pPr>
      <w:r w:rsidRPr="004E2D59">
        <w:rPr>
          <w:rFonts w:cstheme="minorHAnsi"/>
        </w:rPr>
        <w:t xml:space="preserve">Ainsi, </w:t>
      </w:r>
      <w:r w:rsidR="00E30EA6">
        <w:rPr>
          <w:rFonts w:cstheme="minorHAnsi"/>
        </w:rPr>
        <w:t>Monsieur</w:t>
      </w:r>
      <w:r w:rsidRPr="004E2D59">
        <w:rPr>
          <w:rFonts w:cstheme="minorHAnsi"/>
        </w:rPr>
        <w:t xml:space="preserve"> le Maire propose : </w:t>
      </w:r>
    </w:p>
    <w:p w14:paraId="7E584C5E" w14:textId="77777777" w:rsidR="00475B9A" w:rsidRPr="004E2D59" w:rsidRDefault="00475B9A" w:rsidP="00540C1F">
      <w:pPr>
        <w:spacing w:after="0" w:line="240" w:lineRule="auto"/>
        <w:jc w:val="both"/>
        <w:rPr>
          <w:rFonts w:cstheme="minorHAnsi"/>
        </w:rPr>
      </w:pPr>
    </w:p>
    <w:p w14:paraId="2BD3B631" w14:textId="3FC741F1" w:rsidR="00475B9A" w:rsidRPr="0065570B" w:rsidRDefault="00241C20" w:rsidP="00540C1F">
      <w:pPr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65570B">
        <w:rPr>
          <w:rFonts w:cstheme="minorHAnsi"/>
        </w:rPr>
        <w:t>D’a</w:t>
      </w:r>
      <w:r w:rsidR="00475B9A" w:rsidRPr="0065570B">
        <w:rPr>
          <w:rFonts w:cstheme="minorHAnsi"/>
        </w:rPr>
        <w:t xml:space="preserve">broger la délibération </w:t>
      </w:r>
      <w:r w:rsidR="00540C1F" w:rsidRPr="0065570B">
        <w:rPr>
          <w:rFonts w:cstheme="minorHAnsi"/>
        </w:rPr>
        <w:t>n°22 du 29 octobre 1985 relative à l’attribution du prime dite de 13</w:t>
      </w:r>
      <w:r w:rsidR="00540C1F" w:rsidRPr="0065570B">
        <w:rPr>
          <w:rFonts w:cstheme="minorHAnsi"/>
          <w:vertAlign w:val="superscript"/>
        </w:rPr>
        <w:t>ème</w:t>
      </w:r>
      <w:r w:rsidR="00540C1F" w:rsidRPr="0065570B">
        <w:rPr>
          <w:rFonts w:cstheme="minorHAnsi"/>
        </w:rPr>
        <w:t xml:space="preserve"> mois,</w:t>
      </w:r>
    </w:p>
    <w:p w14:paraId="6D5AB95E" w14:textId="589923E6" w:rsidR="00540C1F" w:rsidRPr="0065570B" w:rsidRDefault="00540C1F" w:rsidP="00540C1F">
      <w:pPr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65570B">
        <w:rPr>
          <w:rFonts w:cstheme="minorHAnsi"/>
        </w:rPr>
        <w:t>D’abroger la délibération n°35 du 6 novembre 1986 relative à la reconduction de la prime du 13</w:t>
      </w:r>
      <w:r w:rsidRPr="0065570B">
        <w:rPr>
          <w:rFonts w:cstheme="minorHAnsi"/>
          <w:vertAlign w:val="superscript"/>
        </w:rPr>
        <w:t>ème</w:t>
      </w:r>
      <w:r w:rsidRPr="0065570B">
        <w:rPr>
          <w:rFonts w:cstheme="minorHAnsi"/>
        </w:rPr>
        <w:t xml:space="preserve"> mois,</w:t>
      </w:r>
    </w:p>
    <w:p w14:paraId="3EEFAAA5" w14:textId="4CBB6D90" w:rsidR="00540C1F" w:rsidRPr="0065570B" w:rsidRDefault="00540C1F" w:rsidP="00540C1F">
      <w:pPr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65570B">
        <w:rPr>
          <w:rFonts w:cstheme="minorHAnsi"/>
        </w:rPr>
        <w:t>D’abroger la délibération n°12-05 du 25 janvier 2005 relative aux nouvelles modalités de calcul de la prime de Noël, appelée également 13</w:t>
      </w:r>
      <w:r w:rsidRPr="0065570B">
        <w:rPr>
          <w:rFonts w:cstheme="minorHAnsi"/>
          <w:vertAlign w:val="superscript"/>
        </w:rPr>
        <w:t>ème</w:t>
      </w:r>
      <w:r w:rsidRPr="0065570B">
        <w:rPr>
          <w:rFonts w:cstheme="minorHAnsi"/>
        </w:rPr>
        <w:t xml:space="preserve"> mois,</w:t>
      </w:r>
    </w:p>
    <w:p w14:paraId="2A143AF3" w14:textId="0361A809" w:rsidR="00540C1F" w:rsidRPr="0065570B" w:rsidRDefault="00540C1F" w:rsidP="00540C1F">
      <w:pPr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65570B">
        <w:rPr>
          <w:rFonts w:cstheme="minorHAnsi"/>
        </w:rPr>
        <w:t>D’abroger la délibération n°2018-027 du 20 mars 2018 relative à la modification de la règle de versement du 13</w:t>
      </w:r>
      <w:r w:rsidRPr="0065570B">
        <w:rPr>
          <w:rFonts w:cstheme="minorHAnsi"/>
          <w:vertAlign w:val="superscript"/>
        </w:rPr>
        <w:t>ème</w:t>
      </w:r>
      <w:r w:rsidRPr="0065570B">
        <w:rPr>
          <w:rFonts w:cstheme="minorHAnsi"/>
        </w:rPr>
        <w:t xml:space="preserve"> mois en cas d’absence due à des congés maladie des suites d’une hospitalisation,</w:t>
      </w:r>
    </w:p>
    <w:p w14:paraId="342C2B8A" w14:textId="0FFB9709" w:rsidR="00540C1F" w:rsidRPr="0065570B" w:rsidRDefault="00540C1F" w:rsidP="00540C1F">
      <w:pPr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65570B">
        <w:rPr>
          <w:rFonts w:cstheme="minorHAnsi"/>
        </w:rPr>
        <w:t>D’abroger la délibération n° 202</w:t>
      </w:r>
      <w:r w:rsidR="0065570B">
        <w:rPr>
          <w:rFonts w:cstheme="minorHAnsi"/>
        </w:rPr>
        <w:t>5</w:t>
      </w:r>
      <w:r w:rsidRPr="0065570B">
        <w:rPr>
          <w:rFonts w:cstheme="minorHAnsi"/>
        </w:rPr>
        <w:t>-1</w:t>
      </w:r>
      <w:r w:rsidR="0065570B">
        <w:rPr>
          <w:rFonts w:cstheme="minorHAnsi"/>
        </w:rPr>
        <w:t>4</w:t>
      </w:r>
      <w:r w:rsidRPr="0065570B">
        <w:rPr>
          <w:rFonts w:cstheme="minorHAnsi"/>
        </w:rPr>
        <w:t xml:space="preserve">1 du </w:t>
      </w:r>
      <w:r w:rsidR="0065570B">
        <w:rPr>
          <w:rFonts w:cstheme="minorHAnsi"/>
        </w:rPr>
        <w:t>2</w:t>
      </w:r>
      <w:r w:rsidRPr="0065570B">
        <w:rPr>
          <w:rFonts w:cstheme="minorHAnsi"/>
        </w:rPr>
        <w:t xml:space="preserve">1 </w:t>
      </w:r>
      <w:r w:rsidR="0065570B">
        <w:rPr>
          <w:rFonts w:cstheme="minorHAnsi"/>
        </w:rPr>
        <w:t>octobre</w:t>
      </w:r>
      <w:r w:rsidRPr="0065570B">
        <w:rPr>
          <w:rFonts w:cstheme="minorHAnsi"/>
        </w:rPr>
        <w:t xml:space="preserve"> 202</w:t>
      </w:r>
      <w:r w:rsidR="0065570B">
        <w:rPr>
          <w:rFonts w:cstheme="minorHAnsi"/>
        </w:rPr>
        <w:t>5</w:t>
      </w:r>
      <w:r w:rsidRPr="0065570B">
        <w:rPr>
          <w:rFonts w:cstheme="minorHAnsi"/>
        </w:rPr>
        <w:t xml:space="preserve"> </w:t>
      </w:r>
      <w:r w:rsidR="0065570B">
        <w:rPr>
          <w:rFonts w:cstheme="minorHAnsi"/>
        </w:rPr>
        <w:t xml:space="preserve">modifiant le </w:t>
      </w:r>
      <w:r w:rsidRPr="0065570B">
        <w:rPr>
          <w:rFonts w:eastAsia="Times New Roman" w:cstheme="minorHAnsi"/>
          <w:lang w:eastAsia="fr-FR"/>
        </w:rPr>
        <w:t>RIFSEEP</w:t>
      </w:r>
      <w:r w:rsidR="0065570B">
        <w:rPr>
          <w:rFonts w:eastAsia="Times New Roman" w:cstheme="minorHAnsi"/>
          <w:lang w:eastAsia="fr-FR"/>
        </w:rPr>
        <w:t>,</w:t>
      </w:r>
    </w:p>
    <w:p w14:paraId="6E906940" w14:textId="72C88920" w:rsidR="00475B9A" w:rsidRPr="004E2D59" w:rsidRDefault="0047448B" w:rsidP="00540C1F">
      <w:pPr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4E2D59">
        <w:rPr>
          <w:rFonts w:cstheme="minorHAnsi"/>
        </w:rPr>
        <w:t>D’a</w:t>
      </w:r>
      <w:r w:rsidR="00E80737" w:rsidRPr="004E2D59">
        <w:rPr>
          <w:rFonts w:cstheme="minorHAnsi"/>
        </w:rPr>
        <w:t>pprouver le nouveau</w:t>
      </w:r>
      <w:r w:rsidR="00475B9A" w:rsidRPr="004E2D59">
        <w:rPr>
          <w:rFonts w:cstheme="minorHAnsi"/>
        </w:rPr>
        <w:t xml:space="preserve"> règlement d’attribution du </w:t>
      </w:r>
      <w:r w:rsidRPr="004E2D59">
        <w:rPr>
          <w:rFonts w:cstheme="minorHAnsi"/>
        </w:rPr>
        <w:t>RIFSEEP</w:t>
      </w:r>
      <w:r w:rsidR="00475B9A" w:rsidRPr="004E2D59">
        <w:rPr>
          <w:rFonts w:cstheme="minorHAnsi"/>
        </w:rPr>
        <w:t xml:space="preserve"> à </w:t>
      </w:r>
      <w:r w:rsidR="00475B9A" w:rsidRPr="00BB7A21">
        <w:rPr>
          <w:rFonts w:cstheme="minorHAnsi"/>
        </w:rPr>
        <w:t xml:space="preserve">compter du </w:t>
      </w:r>
      <w:r w:rsidR="00475B9A" w:rsidRPr="00CE32FB">
        <w:rPr>
          <w:rFonts w:cstheme="minorHAnsi"/>
        </w:rPr>
        <w:t>1</w:t>
      </w:r>
      <w:r w:rsidR="00475B9A" w:rsidRPr="00CE32FB">
        <w:rPr>
          <w:rFonts w:cstheme="minorHAnsi"/>
          <w:vertAlign w:val="superscript"/>
        </w:rPr>
        <w:t>er</w:t>
      </w:r>
      <w:r w:rsidR="00475B9A" w:rsidRPr="00CE32FB">
        <w:rPr>
          <w:rFonts w:cstheme="minorHAnsi"/>
        </w:rPr>
        <w:t xml:space="preserve"> </w:t>
      </w:r>
      <w:r w:rsidR="00AB0083">
        <w:rPr>
          <w:rFonts w:cstheme="minorHAnsi"/>
        </w:rPr>
        <w:t>avril</w:t>
      </w:r>
      <w:r w:rsidR="00475B9A" w:rsidRPr="00CE32FB">
        <w:rPr>
          <w:rFonts w:cstheme="minorHAnsi"/>
        </w:rPr>
        <w:t xml:space="preserve"> 202</w:t>
      </w:r>
      <w:r w:rsidR="00540C1F" w:rsidRPr="00CE32FB">
        <w:rPr>
          <w:rFonts w:cstheme="minorHAnsi"/>
        </w:rPr>
        <w:t>6</w:t>
      </w:r>
      <w:r w:rsidR="00475B9A" w:rsidRPr="00BB7A21">
        <w:rPr>
          <w:rFonts w:cstheme="minorHAnsi"/>
        </w:rPr>
        <w:t>, tel</w:t>
      </w:r>
      <w:r w:rsidR="00475B9A" w:rsidRPr="004E2D59">
        <w:rPr>
          <w:rFonts w:cstheme="minorHAnsi"/>
        </w:rPr>
        <w:t xml:space="preserve"> qu’annexé à la présente délibération,</w:t>
      </w:r>
    </w:p>
    <w:p w14:paraId="35229D8C" w14:textId="6862D3BA" w:rsidR="00475B9A" w:rsidRPr="004E2D59" w:rsidRDefault="00241C20" w:rsidP="00540C1F">
      <w:pPr>
        <w:numPr>
          <w:ilvl w:val="0"/>
          <w:numId w:val="4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De l</w:t>
      </w:r>
      <w:r w:rsidR="0047448B" w:rsidRPr="004E2D59">
        <w:rPr>
          <w:rFonts w:cstheme="minorHAnsi"/>
        </w:rPr>
        <w:t>’autoriser à signer tous les actes afférents à cette affaire</w:t>
      </w:r>
      <w:r w:rsidR="00E80737" w:rsidRPr="004E2D59">
        <w:rPr>
          <w:rFonts w:eastAsia="Times New Roman" w:cstheme="minorHAnsi"/>
          <w:lang w:eastAsia="fr-FR"/>
        </w:rPr>
        <w:t>.</w:t>
      </w:r>
    </w:p>
    <w:p w14:paraId="54A079D3" w14:textId="77777777" w:rsidR="00E80737" w:rsidRPr="004E2D59" w:rsidRDefault="00E80737" w:rsidP="00540C1F">
      <w:pPr>
        <w:spacing w:after="0" w:line="240" w:lineRule="auto"/>
        <w:ind w:left="360"/>
        <w:jc w:val="both"/>
        <w:rPr>
          <w:rFonts w:eastAsia="Times New Roman" w:cstheme="minorHAnsi"/>
          <w:lang w:eastAsia="fr-FR"/>
        </w:rPr>
      </w:pPr>
    </w:p>
    <w:p w14:paraId="475CC195" w14:textId="77777777" w:rsidR="00E80737" w:rsidRPr="004E2D59" w:rsidRDefault="00E80737" w:rsidP="00540C1F">
      <w:pPr>
        <w:spacing w:after="0" w:line="240" w:lineRule="auto"/>
        <w:ind w:left="360"/>
        <w:jc w:val="both"/>
        <w:rPr>
          <w:rFonts w:cstheme="minorHAnsi"/>
        </w:rPr>
      </w:pPr>
    </w:p>
    <w:p w14:paraId="738994ED" w14:textId="77777777" w:rsidR="00475B9A" w:rsidRPr="004E2D59" w:rsidRDefault="00475B9A" w:rsidP="00540C1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fr-FR"/>
        </w:rPr>
      </w:pPr>
    </w:p>
    <w:p w14:paraId="65B8F6C9" w14:textId="77777777" w:rsidR="00475B9A" w:rsidRPr="004E2D59" w:rsidRDefault="00475B9A" w:rsidP="00540C1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fr-FR"/>
        </w:rPr>
      </w:pPr>
    </w:p>
    <w:p w14:paraId="52E699A8" w14:textId="77777777" w:rsidR="00475B9A" w:rsidRPr="004E2D59" w:rsidRDefault="00475B9A" w:rsidP="00540C1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fr-FR"/>
        </w:rPr>
      </w:pPr>
    </w:p>
    <w:p w14:paraId="1BD6D550" w14:textId="77777777" w:rsidR="00475B9A" w:rsidRPr="004E2D59" w:rsidRDefault="00475B9A" w:rsidP="00540C1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fr-FR"/>
        </w:rPr>
      </w:pPr>
    </w:p>
    <w:sectPr w:rsidR="00475B9A" w:rsidRPr="004E2D59" w:rsidSect="004E2D59">
      <w:headerReference w:type="default" r:id="rId8"/>
      <w:pgSz w:w="11906" w:h="16838" w:code="9"/>
      <w:pgMar w:top="1440" w:right="1080" w:bottom="1440" w:left="108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F2A451" w14:textId="77777777" w:rsidR="00A02A0C" w:rsidRDefault="00A02A0C" w:rsidP="00572C00">
      <w:pPr>
        <w:spacing w:after="0" w:line="240" w:lineRule="auto"/>
      </w:pPr>
      <w:r>
        <w:separator/>
      </w:r>
    </w:p>
  </w:endnote>
  <w:endnote w:type="continuationSeparator" w:id="0">
    <w:p w14:paraId="6CB72AB8" w14:textId="77777777" w:rsidR="00A02A0C" w:rsidRDefault="00A02A0C" w:rsidP="00572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Subheading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2F4FC9" w14:textId="77777777" w:rsidR="00A02A0C" w:rsidRDefault="00A02A0C" w:rsidP="00572C00">
      <w:pPr>
        <w:spacing w:after="0" w:line="240" w:lineRule="auto"/>
      </w:pPr>
      <w:r>
        <w:separator/>
      </w:r>
    </w:p>
  </w:footnote>
  <w:footnote w:type="continuationSeparator" w:id="0">
    <w:p w14:paraId="2F95CBA0" w14:textId="77777777" w:rsidR="00A02A0C" w:rsidRDefault="00A02A0C" w:rsidP="00572C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761F47" w14:textId="77777777" w:rsidR="00E515AC" w:rsidRPr="00B857F2" w:rsidRDefault="00E515AC" w:rsidP="00B857F2">
    <w:pPr>
      <w:pStyle w:val="En-tte"/>
      <w:rPr>
        <w:rFonts w:eastAsia="Times New Roman" w:cstheme="minorHAnsi"/>
        <w:b/>
        <w:sz w:val="24"/>
        <w:szCs w:val="24"/>
        <w:lang w:eastAsia="fr-FR"/>
      </w:rPr>
    </w:pPr>
    <w:r w:rsidRPr="00B857F2">
      <w:rPr>
        <w:rFonts w:eastAsia="Times New Roman" w:cstheme="minorHAnsi"/>
        <w:b/>
        <w:sz w:val="24"/>
        <w:szCs w:val="24"/>
        <w:lang w:eastAsia="fr-FR"/>
      </w:rPr>
      <w:t xml:space="preserve">Commune de Saint-Nazaire-les-Eymes </w:t>
    </w:r>
  </w:p>
  <w:p w14:paraId="4A9AABCD" w14:textId="77777777" w:rsidR="00E515AC" w:rsidRPr="00B857F2" w:rsidRDefault="00E515AC" w:rsidP="00B857F2">
    <w:pPr>
      <w:tabs>
        <w:tab w:val="center" w:pos="4536"/>
        <w:tab w:val="right" w:pos="9072"/>
      </w:tabs>
      <w:spacing w:after="0" w:line="240" w:lineRule="auto"/>
      <w:rPr>
        <w:rFonts w:eastAsia="Times New Roman" w:cstheme="minorHAnsi"/>
        <w:sz w:val="20"/>
        <w:szCs w:val="20"/>
        <w:lang w:eastAsia="fr-FR"/>
      </w:rPr>
    </w:pPr>
    <w:r w:rsidRPr="00B857F2">
      <w:rPr>
        <w:rFonts w:eastAsia="Times New Roman" w:cstheme="minorHAnsi"/>
        <w:sz w:val="20"/>
        <w:szCs w:val="20"/>
        <w:lang w:eastAsia="fr-FR"/>
      </w:rPr>
      <w:t xml:space="preserve">                Département de l’Isère</w:t>
    </w:r>
  </w:p>
  <w:p w14:paraId="2ABDBC7A" w14:textId="77777777" w:rsidR="00E515AC" w:rsidRPr="00B857F2" w:rsidRDefault="00E515AC" w:rsidP="00B857F2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fr-FR"/>
      </w:rPr>
    </w:pPr>
  </w:p>
  <w:p w14:paraId="4BF46877" w14:textId="77777777" w:rsidR="00E515AC" w:rsidRDefault="00E515AC">
    <w:pPr>
      <w:pStyle w:val="En-tte"/>
    </w:pPr>
  </w:p>
  <w:sdt>
    <w:sdtPr>
      <w:id w:val="-991719213"/>
      <w:docPartObj>
        <w:docPartGallery w:val="Watermarks"/>
        <w:docPartUnique/>
      </w:docPartObj>
    </w:sdtPr>
    <w:sdtEndPr/>
    <w:sdtContent>
      <w:p w14:paraId="7A587664" w14:textId="77777777" w:rsidR="00E515AC" w:rsidRDefault="00346C58">
        <w:pPr>
          <w:pStyle w:val="En-tte"/>
        </w:pPr>
        <w:r>
          <w:pict w14:anchorId="3517AD00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6191836" o:spid="_x0000_s1025" type="#_x0000_t136" style="position:absolute;margin-left:0;margin-top:0;width:426.35pt;height:213.15pt;rotation:315;z-index:-251658752;mso-position-horizontal:center;mso-position-horizontal-relative:margin;mso-position-vertical:center;mso-position-vertical-relative:margin" o:allowincell="f" fillcolor="#a5a5a5 [2092]" stroked="f">
              <v:fill opacity=".5"/>
              <v:textpath style="font-family:&quot;calibri&quot;;font-size:1pt" string="PROJET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01066"/>
    <w:multiLevelType w:val="hybridMultilevel"/>
    <w:tmpl w:val="72E88C4E"/>
    <w:lvl w:ilvl="0" w:tplc="613EFB6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E72CB"/>
    <w:multiLevelType w:val="multilevel"/>
    <w:tmpl w:val="4ABEC08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Sitka Subheading" w:hAnsi="Sitka Subheading" w:cs="Sitka Subheading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7705F61"/>
    <w:multiLevelType w:val="multilevel"/>
    <w:tmpl w:val="C9A8DF3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Sitka Subheading" w:hAnsi="Sitka Subheading" w:cs="Sitka Subheading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C10171F"/>
    <w:multiLevelType w:val="hybridMultilevel"/>
    <w:tmpl w:val="520643F4"/>
    <w:lvl w:ilvl="0" w:tplc="E8C21E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EC4FEC"/>
    <w:multiLevelType w:val="hybridMultilevel"/>
    <w:tmpl w:val="D1F88F0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622510"/>
    <w:multiLevelType w:val="multilevel"/>
    <w:tmpl w:val="9B48BB52"/>
    <w:lvl w:ilvl="0">
      <w:start w:val="1"/>
      <w:numFmt w:val="none"/>
      <w:lvlText w:val="Vu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91C07AF"/>
    <w:multiLevelType w:val="multilevel"/>
    <w:tmpl w:val="E2C662F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Sitka Subheading" w:hAnsi="Sitka Subheading" w:cs="Sitka Subheading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BC749AD"/>
    <w:multiLevelType w:val="multilevel"/>
    <w:tmpl w:val="6DEEB0E6"/>
    <w:lvl w:ilvl="0">
      <w:start w:val="1"/>
      <w:numFmt w:val="bullet"/>
      <w:lvlText w:val="-"/>
      <w:lvlJc w:val="left"/>
      <w:pPr>
        <w:tabs>
          <w:tab w:val="num" w:pos="0"/>
        </w:tabs>
        <w:ind w:left="1200" w:hanging="360"/>
      </w:pPr>
      <w:rPr>
        <w:rFonts w:ascii="Stencil" w:hAnsi="Stencil" w:cs="Stenci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6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6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F280668"/>
    <w:multiLevelType w:val="multilevel"/>
    <w:tmpl w:val="ED8CBD2E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Sitka Subheading" w:hAnsi="Sitka Subheading" w:cs="Sitka Subheading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65B1632"/>
    <w:multiLevelType w:val="hybridMultilevel"/>
    <w:tmpl w:val="B93E0990"/>
    <w:lvl w:ilvl="0" w:tplc="613EFB6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B152CE"/>
    <w:multiLevelType w:val="hybridMultilevel"/>
    <w:tmpl w:val="BFC69FDE"/>
    <w:lvl w:ilvl="0" w:tplc="E8C21E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10"/>
  </w:num>
  <w:num w:numId="5">
    <w:abstractNumId w:val="8"/>
  </w:num>
  <w:num w:numId="6">
    <w:abstractNumId w:val="2"/>
  </w:num>
  <w:num w:numId="7">
    <w:abstractNumId w:val="6"/>
  </w:num>
  <w:num w:numId="8">
    <w:abstractNumId w:val="1"/>
  </w:num>
  <w:num w:numId="9">
    <w:abstractNumId w:val="5"/>
  </w:num>
  <w:num w:numId="10">
    <w:abstractNumId w:val="7"/>
  </w:num>
  <w:num w:numId="11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C00"/>
    <w:rsid w:val="00006687"/>
    <w:rsid w:val="000237F5"/>
    <w:rsid w:val="000363EE"/>
    <w:rsid w:val="000C1DE8"/>
    <w:rsid w:val="000D020E"/>
    <w:rsid w:val="0011521E"/>
    <w:rsid w:val="00133965"/>
    <w:rsid w:val="001654AA"/>
    <w:rsid w:val="00170547"/>
    <w:rsid w:val="00221450"/>
    <w:rsid w:val="0023072D"/>
    <w:rsid w:val="00233BC3"/>
    <w:rsid w:val="00234A37"/>
    <w:rsid w:val="00241C20"/>
    <w:rsid w:val="00255D9D"/>
    <w:rsid w:val="00292FB4"/>
    <w:rsid w:val="002C6D66"/>
    <w:rsid w:val="003067DB"/>
    <w:rsid w:val="003109AC"/>
    <w:rsid w:val="003217A0"/>
    <w:rsid w:val="00346C58"/>
    <w:rsid w:val="00363BE5"/>
    <w:rsid w:val="00371930"/>
    <w:rsid w:val="00383798"/>
    <w:rsid w:val="003E335C"/>
    <w:rsid w:val="004004F6"/>
    <w:rsid w:val="004171E1"/>
    <w:rsid w:val="00417E77"/>
    <w:rsid w:val="004321DA"/>
    <w:rsid w:val="00460E3C"/>
    <w:rsid w:val="00461360"/>
    <w:rsid w:val="0047448B"/>
    <w:rsid w:val="00475B9A"/>
    <w:rsid w:val="004928D2"/>
    <w:rsid w:val="004A7E98"/>
    <w:rsid w:val="004C478B"/>
    <w:rsid w:val="004C67DA"/>
    <w:rsid w:val="004D7461"/>
    <w:rsid w:val="004E2D59"/>
    <w:rsid w:val="0052272D"/>
    <w:rsid w:val="00524BAD"/>
    <w:rsid w:val="00526A75"/>
    <w:rsid w:val="00540C1F"/>
    <w:rsid w:val="0054298B"/>
    <w:rsid w:val="005640F9"/>
    <w:rsid w:val="00572212"/>
    <w:rsid w:val="00572C00"/>
    <w:rsid w:val="005B5662"/>
    <w:rsid w:val="005F7CE7"/>
    <w:rsid w:val="0065570B"/>
    <w:rsid w:val="0068162B"/>
    <w:rsid w:val="00697D6B"/>
    <w:rsid w:val="006A6239"/>
    <w:rsid w:val="006A7170"/>
    <w:rsid w:val="006B2C1F"/>
    <w:rsid w:val="0072474F"/>
    <w:rsid w:val="0077410C"/>
    <w:rsid w:val="007A4B7C"/>
    <w:rsid w:val="007B549B"/>
    <w:rsid w:val="007E657E"/>
    <w:rsid w:val="007E67B3"/>
    <w:rsid w:val="008177BC"/>
    <w:rsid w:val="00821EA7"/>
    <w:rsid w:val="00867D4C"/>
    <w:rsid w:val="008C0C39"/>
    <w:rsid w:val="008C5C39"/>
    <w:rsid w:val="008E492D"/>
    <w:rsid w:val="00906AB2"/>
    <w:rsid w:val="00911814"/>
    <w:rsid w:val="009344E9"/>
    <w:rsid w:val="00995035"/>
    <w:rsid w:val="00997ECD"/>
    <w:rsid w:val="00A02A0C"/>
    <w:rsid w:val="00A0388C"/>
    <w:rsid w:val="00A15F40"/>
    <w:rsid w:val="00A64442"/>
    <w:rsid w:val="00AB0083"/>
    <w:rsid w:val="00AB5C80"/>
    <w:rsid w:val="00AF0D4A"/>
    <w:rsid w:val="00AF44EF"/>
    <w:rsid w:val="00B2724D"/>
    <w:rsid w:val="00B27F4F"/>
    <w:rsid w:val="00B45678"/>
    <w:rsid w:val="00B55DDF"/>
    <w:rsid w:val="00B570A9"/>
    <w:rsid w:val="00B77125"/>
    <w:rsid w:val="00B81F28"/>
    <w:rsid w:val="00B857F2"/>
    <w:rsid w:val="00BB7A21"/>
    <w:rsid w:val="00BC5E35"/>
    <w:rsid w:val="00BD28A9"/>
    <w:rsid w:val="00BE3511"/>
    <w:rsid w:val="00BE5F49"/>
    <w:rsid w:val="00BF29CD"/>
    <w:rsid w:val="00C00849"/>
    <w:rsid w:val="00C1448B"/>
    <w:rsid w:val="00C51BAD"/>
    <w:rsid w:val="00CA679A"/>
    <w:rsid w:val="00CB0DC2"/>
    <w:rsid w:val="00CE32FB"/>
    <w:rsid w:val="00D0259B"/>
    <w:rsid w:val="00D154C9"/>
    <w:rsid w:val="00DA67D2"/>
    <w:rsid w:val="00DB3649"/>
    <w:rsid w:val="00DB4856"/>
    <w:rsid w:val="00DE5209"/>
    <w:rsid w:val="00E30EA6"/>
    <w:rsid w:val="00E515AC"/>
    <w:rsid w:val="00E80737"/>
    <w:rsid w:val="00EA02AD"/>
    <w:rsid w:val="00EA4ED2"/>
    <w:rsid w:val="00EA5ECF"/>
    <w:rsid w:val="00EE2C3D"/>
    <w:rsid w:val="00EF752C"/>
    <w:rsid w:val="00F00C5C"/>
    <w:rsid w:val="00F72687"/>
    <w:rsid w:val="00F73F1A"/>
    <w:rsid w:val="00F81154"/>
    <w:rsid w:val="00F86759"/>
    <w:rsid w:val="00FA5F6A"/>
    <w:rsid w:val="00FC4A82"/>
    <w:rsid w:val="00FC6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35EB7"/>
  <w15:docId w15:val="{43B05891-85F8-464C-ADC1-ADE77E7BD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5678"/>
  </w:style>
  <w:style w:type="paragraph" w:styleId="Titre1">
    <w:name w:val="heading 1"/>
    <w:basedOn w:val="Normal"/>
    <w:next w:val="Normal"/>
    <w:link w:val="Titre1Car"/>
    <w:uiPriority w:val="9"/>
    <w:qFormat/>
    <w:rsid w:val="00C144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B5C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72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72C00"/>
  </w:style>
  <w:style w:type="paragraph" w:styleId="Pieddepage">
    <w:name w:val="footer"/>
    <w:basedOn w:val="Normal"/>
    <w:link w:val="PieddepageCar"/>
    <w:uiPriority w:val="99"/>
    <w:unhideWhenUsed/>
    <w:rsid w:val="00572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72C00"/>
  </w:style>
  <w:style w:type="paragraph" w:styleId="Textedebulles">
    <w:name w:val="Balloon Text"/>
    <w:basedOn w:val="Normal"/>
    <w:link w:val="TextedebullesCar"/>
    <w:uiPriority w:val="99"/>
    <w:semiHidden/>
    <w:unhideWhenUsed/>
    <w:rsid w:val="00B85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857F2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B857F2"/>
    <w:pPr>
      <w:ind w:left="720"/>
      <w:contextualSpacing/>
    </w:pPr>
  </w:style>
  <w:style w:type="character" w:styleId="lev">
    <w:name w:val="Strong"/>
    <w:basedOn w:val="Policepardfaut"/>
    <w:uiPriority w:val="22"/>
    <w:qFormat/>
    <w:rsid w:val="00AF0D4A"/>
    <w:rPr>
      <w:b/>
      <w:bCs/>
    </w:rPr>
  </w:style>
  <w:style w:type="character" w:customStyle="1" w:styleId="Corpsdutexte2">
    <w:name w:val="Corps du texte (2)_"/>
    <w:basedOn w:val="Policepardfaut"/>
    <w:rsid w:val="00B771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Corpsdutexte20">
    <w:name w:val="Corps du texte (2)"/>
    <w:basedOn w:val="Corpsdutexte2"/>
    <w:rsid w:val="00B771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Titre1Car">
    <w:name w:val="Titre 1 Car"/>
    <w:basedOn w:val="Policepardfaut"/>
    <w:link w:val="Titre1"/>
    <w:uiPriority w:val="9"/>
    <w:rsid w:val="00C144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AB5C80"/>
    <w:rPr>
      <w:rFonts w:asciiTheme="majorHAnsi" w:eastAsiaTheme="majorEastAsia" w:hAnsiTheme="majorHAnsi" w:cstheme="majorBidi"/>
      <w:b/>
      <w:bCs/>
      <w:color w:val="4F81BD" w:themeColor="accent1"/>
      <w:sz w:val="24"/>
      <w:szCs w:val="26"/>
    </w:rPr>
  </w:style>
  <w:style w:type="paragraph" w:customStyle="1" w:styleId="Contenudetableau">
    <w:name w:val="Contenu de tableau"/>
    <w:basedOn w:val="Normal"/>
    <w:qFormat/>
    <w:rsid w:val="00911814"/>
    <w:pPr>
      <w:widowControl w:val="0"/>
      <w:suppressLineNumbers/>
      <w:suppressAutoHyphens/>
    </w:pPr>
  </w:style>
  <w:style w:type="table" w:styleId="Grilledutableau">
    <w:name w:val="Table Grid"/>
    <w:basedOn w:val="TableauNormal"/>
    <w:uiPriority w:val="39"/>
    <w:rsid w:val="00475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DB485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B485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B485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B485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B4856"/>
    <w:rPr>
      <w:b/>
      <w:bCs/>
      <w:sz w:val="20"/>
      <w:szCs w:val="20"/>
    </w:rPr>
  </w:style>
  <w:style w:type="character" w:customStyle="1" w:styleId="Sautdindex">
    <w:name w:val="Saut d'index"/>
    <w:qFormat/>
    <w:rsid w:val="002307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620E3-10F1-494D-8F21-08BC61B22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499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Ucompta2</dc:creator>
  <cp:lastModifiedBy>Rémi Piu</cp:lastModifiedBy>
  <cp:revision>8</cp:revision>
  <cp:lastPrinted>2025-12-19T15:23:00Z</cp:lastPrinted>
  <dcterms:created xsi:type="dcterms:W3CDTF">2025-11-18T15:39:00Z</dcterms:created>
  <dcterms:modified xsi:type="dcterms:W3CDTF">2026-03-27T07:03:00Z</dcterms:modified>
</cp:coreProperties>
</file>